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926242-О/2026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Шюле Эрнеста Эльмутовича на нарушение его конституционных прав пунктом 2 статьи 45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Э.Э.Шюле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Э.Э.Шюле оспаривает конституционность пункта 2 статьи 45 Семейного кодекса Российской Федерации, а фактически – его абзаца первого, предусматривающего, что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2 Как следует из представленных материалов, суд общей юрисдикции, принимая решение, оставленное без изменения определением суда апелляционной инстанции, исходил из того, что Э.Э.Шюле не доказал возникновения его обязательств по кредитным договорам по инициативе обоих супругов в интересах семьи или использования всего полученного им по этим договорам на нужды семьи. С учетом этого при разделе общего имущества супругов, брак которых расторгнут, суд отказал в удовлетворении требований заявителя о распределении этих долгов как общих долгов супругов и передаче ему указанного им имущества в качестве компенсации. В передаче кассационной жалобы Э.Э.Шюле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Конституции Российской Федерации, в частности ее статьям 19 (часть 1) и 123 (часть 3), поскольку при распределении бремени доказывания общего характера обязательства супругов оно позволяет применять по отношению к должнику чрезмерно высокий стандарт доказывания, превосходящий стандарт «баланс вероятностей», и допускает пассивное процессуальное поведение супруга, который, даже если другой супруг (должник), требующий признания долга общим, представил бесспорные доказательства приобретения имущества за счет полученных им заемных средств, не обязан доказывать, что общее имущество приобретено за счет иных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первый пункта 2 статьи 45 Семейного кодекса Российской Федерации обеспечивает баланс имущественных интересов участников гражданского оборота (определения Конституционного Суда Российской 3 Федерации от 27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Шюле Эрнеста Эльмутовича,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