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926225-О/2026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128 и 222 Кодекса административного судопроизводства Российской Федерации и Законом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 оспаривает конституционность статей 128 «Отказ в принятии административного искового заявления» и 222 «Рассмотрение судом вопроса о принятии к производству суда административного искового заявления о признании незаконными решений, действий (бездействия) органа, организации, лица, наделенных государственными или иными публичными полномочиями» КАС Российской Федерации, а также Закона Российской Федерации от 26 июня 1992 года № 3132-I «О статусе судей в Российской Федерации». 2 Как следует из представленных материалов, определением суда первой инстанции, с которым согласились суды вышестоящих инстанций, отказано в принятии административного искового заявления В.И.Попкова о признании незаконным возврата ему частной жалобы на определение районного суда об отклонении замечаний на протокол судебного заседания письмом, в котором было разъяснено, что данное определение не подлежит обжалованию. По мнению заявителя, регулирование, установленное оспариваемыми законоположениями, не соответствует Конституции Российской Федерации, в частности ее статье 21, поскольку не позволяет в рамках самостоятельного судебного разбирательства проверять действия суда, совершенные при разрешении административного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