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926646-О/2026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Ростислава Витальевича на нарушение его конституционных прав частями второй и четвертой статьи 61 Гражданского процессуального кодекса Российской Федерации во взаимосвязи со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Р.В.Петров оспаривает конституционность частей второй и четвертой статьи 61 «Основания для освобождения от доказывания» ГПК Российской Федерации во взаимосвязи со статьей 90 «Преюдиция» УПК Российской Федерации. Как следует из представленных материалов, Р.В.Петров осужден вступившим в законную силу приговором суда по части первой статьи 201 «Злоупотребление полномочиями» УК Российской Федерации, при этом суд кассационной инстанции отменил этот приговор в части разрешения 2 гражданского иска и передал материалы дела в суд первой инстанции для рассмотрения в порядке гражданского судопроизводства в этой части, поскольку, с точки зрения суда кассационной инстанции, гражданский иск был удовлетворен судом в пользу организации, которая не признавалась потерпевшей в уголовном деле. Решением суда, оставленным без изменения судами вышестоящих инстанций, иск той же организации к Р.В.Петрову о возмещении вреда, причиненного преступлением, удовлетворен. Суды признали не подлежащим оспариванию размер ущерба, установленный приговором суда, поскольку он влиял на уголовно-правовую квалификацию действий Р.В.Петрова, а также отклонили доводы последнего о предъявлении иска ненадлежащим истцом, установив, что организация, предъявившая иск, изменила наименование после того, как была признана потерпевшей в рамках уголовного дела.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Р.В.Петрова для рассмотрения в судебном заседании суда кассационной инстанции. По мнению заявителя, оспариваемые положения не соответствуют статьям 45, 46 (часть 1), 55 (часть 2) и 123 (часть 3) Конституции Российской Федерации, поскольку позволяют судам необоснованно принимать к рассмотрению иск о возмещении ущерба, причиненного преступлением, от организации, не указавшей свою организационно-правовую форму и отказавшейся предоставлять учредительные документы, а также документы, подтверждающие переход к ней права на возмещение ущерба, и доказательства наличия и размера этого ущерба; освобождать данную организацию от доказывания размера ущерба, несмотря на то, что вынесенный ранее судом приговор был отменен судом кассационной инстанции в части разрешения гражданского иска по мотивам наличия в уголовном деле доказательств, полученных с нарушением закона и подлежавших исключению, и незаконного признания гражданским истцом организации, не являвшейся потерпевшей от преступления.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Ростислава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