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926568-П/2026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Арутюняна Акопа Норайровича на нарушение его конституционных прав частью 1 статьи 12.8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А.Н.Арутюняна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А.Н.Арутюнян оспаривает конституционность части 1 статьи 12.8 КоАП Российской Федерации, в соответствии с которой управление транспортным средством водителем, находящимся в состоянии опьянения, если такие действия не содержат уголовно наказуемого деяния,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лет. Как следует из представленных материалов, постановлением мирового судьи, оставленным без изменения вышестоящими судами, 2 А.Н.Арутюнян привлечен к административной ответственности за управление транспортным средством в состоянии опьянения. По мнению заявителя, оспариваемое законоположение не соответствует статьям 46, 49 и 55 Конституции Российской Федерации, поскольку допускает произвольное привлечение к административной ответственности, в частности без выяснения того, кто именно управлял транспортным средством.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55 (часть 3) Конституции Российской Федерации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Правовые основы обеспечения безопасности дорожного движения на территории Российской Федерации определяются Федеральным законом от 10 декабря 1995 года № 196-ФЗ «О безопасности дорожного движения» и утвержденными постановлением Совета Министров – Правительства Российской Федерации от 23 октября 1993 года № 1090 Правилами дорожного движения Российской Федерации, в соответствии с которыми запрещается эксплуатация транспортных средств лицами, находящимися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 (пункт 21 статьи 19 указанного Федерального закона и пункт 2.7 Правил дорожного движения Российской Федерации). Следовательно, введение законодателем административной ответственности за управление транспортным средством водителем, ставящим под угрозу безопасность движения, направлено на обеспечение 3 безопасности дорожного движения, осуществление борьбы с правонарушениями в области дорожного движения адекватными средствами, охрану прав и свобод граждан. Часть 1 статьи 12.8 КоАП Российской Федерации сама по себе не регулирует вопросы производства по делам об административных правонарушениях, не влечет произвольного привлечения граждан к административной ответственности, а потому не может рассматриваться как нарушающая конституционные права заявителя в указанном им аспекте. Доводы А.Н.Арутюняна свидетельствуют о том, что, оспаривая конституционность указанного положения, он в действительности выражает несогласие с судебными решениями по своему конкретному делу и требует переоценить выводы судов. Между тем установление и исследование обстоятельств конкретного дела, в частности разрешение вопроса о том, управлял ли заявитель автомобилем,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Арутюняна Акопа Норайровича,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