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П.В. на нарушение ее конституционных прав пунктом 1 статьи 52 Семейного кодекса Российской Федерации, а также пунктом 1 части первой статьи 134 и абзацем вторым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П.В.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П.В. оспаривает конституционность пункта 1 статьи 52 «Оспаривание отцовства (материнства)» Семейного кодекса Российской Федерации, а также пункта 1 части первой статьи 134 «Отказ в принятии искового заявления» и абзаца второго статьи 220 «Основания прекращения производства по делу» ГПК Российской Федерации. Из представленных материалов следует, что определением суда общей юрисдикции, оставленным без изменения определением суда апелляционной инстанции, отказано в принятии искового заявления П.В. об оспаривании отцовства гражданина П.С. (ее сына) в отношении несовершеннолетних детей, родившихся в период брака П.С. с их матерью. 2 Суды указали, что заявительница не относится к лицам, которые вправе оспаривать отцовство.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52 Семейного кодекса Российской Федерации противоречит статье 35 Конституции Российской Федерации, поскольку по смыслу, придаваемому ему правоприменительной практикой, он не позволяет принять исковое заявление наследника лица, записанного в качестве отца ребенка в книгу записей рождений, об оспаривании такой записи, если выявлено отсутствие родства. Противоречие оспариваемых положений Гражданского процессуального кодекса Российской Федерации статьям 2, 17, 18, 35 (часть 4) и 46 (части 1 и 2) Конституции Российской Федерации П.В. связывает с тем, что они позволяют отказывать в принятии искового заявления наследников лица, записанного в качестве отца ребенка в книгу записей рождений с нарушением требований закона (без его волеизъявления в отсутствие родства), об оспаривании такой записи, а если исковое заявление принято – прекращать производство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П.В.,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