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Л.Л. на нарушение конституционных прав ее подопечного – ограниченно дееспособного гражданина Л.В. частями первой и третьей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гражданки Л.Л.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Л.Л., действующая в интересах подопечного – ограниченно дееспособного гражданина Л.В., оспаривает конституционность частей первой и третьей статьи 67 «Оценка доказательств» ГПК Российской Федерации. Как следует из представленных материалов, определением суда общей юрисдикции, с которым согласились суды вышестоящих инстанций, Л.Л., действующей в интересах Л.В., в удовлетворении исковых требований к кредитной организации о признании сделок недействительными отказано. Определением судьи Верховного Суда 2 Российской Федерации, с которым согласился заместитель Председателя этого суда (письмо от 27 мая 2024 года), заявительнице отказано в передаче кассационной жалобы для рассмотрения в судебном заседании суда кассационной инстанции. В связи с этим Л.Л. просит признать оспариваемые положения не соответствующими статьям 18, 46 (часть 1) и 123 (часть 3) Конституции Российской Федерации, поскольку они нарушают права и свободы ограниченно дееспособного Л.В. Кроме того, заявительница просит восстановить срок для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Л.Л.,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