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К. на нарушение его конституционных прав положениями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К.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К., уволенный с военной службы в 2016 году, обратился в 2022 году в окружной военный суд с административным исковым заявлением о признании незаконными решений, действий (бездействия) должностных лиц воинской части и военной прокуратуры. Решением данного суда, с которым согласились вышестоящие суды, в удовлетворении его требований было отказано в связи с пропуском срока на обращение в суд.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