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Колесовой Ларисы Валентиновны и Штоль Ольги Федоровны на нарушение их конституционных прав частью второй статьи 3911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Л.В.Колесовой и О.Ф.Штоль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Л.В.Колесова и О.Ф.Штоль, которым уведомлением работника аппарата Верховного Суда Российской Федерации возвращена без рассмотрения по существу надзорная жалоба на вынесенные по их делу судебные постановления, как поданная с нарушением правил подсудности, оспаривают конституционность части второй статьи 3911 «Пересмотр судебных постановлений в порядке надзора» ГПК Российской Федерации. По мнению Л.В.Колесовой и О.Ф.Штоль, оспариваемая норма противоречит статьям 46 и 55 Конституции Российской Федерации в той мере, в какой она не позволяет пересмотреть в порядке надзора Президиумом Верховного Суда Российской Федерации принятые по делу с их участием 2 судебные постановления, в том числе определение судьи Верховного Суда Российской Федерации об отказе в передаче кассационной жалобы для рассмотрения в судебном заседании судебной коллегии этого суда. Кроме того, заявительницы ставят ряд вопросов, не связанных с проверкой конституционности нормативного акта.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Колесовой Ларисы Валентиновны и Штоль Ольги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4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