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отказано в удовлетворении иска об оспаривании действий по внесению записей в медицинскую карту, об опровержении содержащейся в этих записях информации и о компенсации морального вреда, оспаривает конституционность статьи 12 «Способы защиты гражданских прав» ГК Российской Федерации во взаимосвязи с частями 1 и 2 статьи 13 «Соблюдение врачебной тайны», частью 1 статьи 22 «Информация о состоянии здоровья» и статьей 79 «Обязанности медицинских организаций» Федерального закона от 21 ноября 2011 года № 323-ФЗ «Об основах охраны здоровья граждан в Российской Федерации», а также со статьями 31 «Гарантии прав и законных интересов лиц, в отношении которых производится судебная экспертиза», 32 «Условия производства судебной экспертизы в отношении лиц, не 2 содержащихся под стражей, в медицинских организациях, оказывающих психиатрическую помощь в стационарных условиях» и 37 «Финансирование судебно-экспертной деятельности» Федерального закона от 31 мая 2001 года № 73-ФЗ «О государственной судебно-экспертной деятельности в Российской Федерации». По мнению заявительницы, оспариваемые положения противоречат статьям 2, 6, 10, 11, 15–19, 21, 23, 45, 46, 49, 53, 54 (часть 2) и 55 Конституции Российской Федерации, поскольку позволяют лицам, которые не являются экспертами и не предупреждены об уголовной ответственности за дачу заведомо ложного заключения, вносить в медицинскую карту неподтвержденную информацию о совершении преступления лицом, в отношении которого проводится судебная экспертиза, а также не обеспечивают последнему возможности защитить свои права в порядке гражданского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