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Рязанцевой Татьяны Валентиновны на нарушение ее конституционных прав положениями статьи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Т.В.Рязанцевой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Т.В.Рязанцева, которой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этого суда, оспаривает конституционность пунктов 2 и 3 (в жалобе ошибочно поименованных частями)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По мнению заявительницы, оспариваемые нормы, позволяющие судье Верховного Суда Российской Федерации не указывать мотивы, по которым отвергаются доводы кассационной жалобы, противоречат статьям 1, 15, 19, 46 и 120 Конституции Российской Федерации. Кроме того, Т.В.Рязанцева просит установить обязанность Верховного Суда Российской Федерации рассматривать кассационные жалобы в случаях, затрагивающих социально- значимые права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законоположения, регламентирующие рассмотрение судьей Верховного Суда Российской Федерации жалоб и представлений на вступившие в законную силу судебные постановления, не допускают произвольного отказа в их рассмотрении, поскольку обязывают его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 исключают вынесение немотивированных решений по результатам рассмотрения жалобы, представления – как при решении вопроса о наличии или отсутствии оснований для истребования дела, так и при решении вопроса о наличии или отсутствии оснований для передачи дела в суд кассационной инстанции для рассмотрения по существу (определения от 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Рязанцевой Татьяны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