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2200-О/2025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Ищенко Антона Юрьевича на нарушение его конституционных прав статьей 3251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А.Ю.Ищенко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А.Ю.Ищенко оспаривает конституционность статьи 3251 «Возвращение дела судом апелляционной инстанции» ГПК Российской Федерации. Как следует из представленных материалов, определением суда апелляционной инстанции, оставленным без изменения кассационным судом общей юрисдикции, гражданское дело с участием А.Ю.Ищенко и его частная жалоба на определение суда первой инстанции были возвращены в суд первой инстанции по запросу этого суда для устранения недостатков.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суда кассационной инстанции. 2 По мнению А.Ю.Ищенко, статья 3251 ГПК Российской Федерации не соответствует статье 47 (часть 1) Конституции Российской Федерации, поскольку позволяет суду апелляционной инстанции возвратить гражданское дело в суд первой инстанции по запросу этого суда для совершения процессуальных действий, не предусмотренных оспариваемой нормой.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Ищенко Антона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