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703-О/2025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Рахимовой Татьяны Федоровны на нарушение ее конституционных прав пунктом 1 части второй статьи 3904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Т.Ф.Рахимовой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Т.Ф.Рахимова, кассационная жалоба которой в Судебную коллегию по гражданским делам Верховного Суда Российской Федерации на судебные постановления по делу, разрешенному мировым судьей, была возвращена без рассмотрения по существу письмом работника аппарата этого суда как поданная на судебные постановления, не подлежащие обжалованию в соответствующем порядке, оспаривает конституционность пункта 1 части второй статьи 3904 «Порядок подачи 2 кассационных жалобы, представления в судебную коллегию Верховного Суда Российской Федерации» ГПК Российской Федерации. По мнению заявительницы, названная норма не соответствует статьям 2, 19, 20 (часть 1), 41, 55 и 751 Конституции Российской Федерации в той мере, в какой она препятствует обжалованию в Верховный Суд Российской Федерации судебного постановления, вынесенного по делу, разрешенному мировым судьей. Кроме того, Т.Ф.Рахимова просит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Рахимовой Татьяны Федоровны,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