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Кушнарева Владимира Михайловича на нарушение его конституционных прав статьей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В.М.Кушнарева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В.М.Кушнарев оспаривает конституционность статьи 71 «Оценка доказательств» АПК Российской Федерации. Как следует из представленных материалов, определением арбитражного суда апелляционной инстанции, оставленным без изменения судом кассационной инстанции, В.М.Кушнареву отказано в удовлетворении заявления о взыскании судебных расходов, понесенных им на оплату услуг представителя в рамках рассмотрения дела в порядке упрощенного производства. 2 Определением судьи Верховного Суда Российской Федерации производство по кассационной жалобе В.М.Кушнарева было прекращено с указанием на то, что оспариваемые им судебные акты, принятые в порядке упрощенного производства, не подлежат обжалованию в Судебную коллегию Верховного Суда Российской Федерации. Письмом работника аппарата Верховного Суда Российской Федерации надзорная жалоба заявителя на принятые по данному делу с его участием судебные акты была возвращена без рассмотрения по существу по основаниям, предусмотренным статьей 2915 АПК Российской Федерации, как поданная с нарушением правил подсудности. По мнению В.М.Кушнарева, оспариваемая норма противоречит статьям 19, 46, 55 и 120 Конституции Российской Федерации, поскольку она позволяет суду принимать произвольные решения, основанные не на объективной оценке доказательств и доводов сторон, а на субъективном мнении судьи.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Предоставление статьей 71 АПК Российской Федерации арбитражному суду полномочий по оценке доказательств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правосудия, что вместе с тем не предполагает возможности оценки доказательств произвольно и в противоречии с законом. Результаты оценки доказательств суд обязан отразить в судебном акте, содержащем мотивы принятия или отказа в принятии доказательств, представленных лицами, 3 участвующими в деле, в обоснование своих требований и возражений (часть 7 данной статьи). Гарантией процессуальных прав лиц, участвующих в деле, являются закрепленные названным Кодексом процедуры проверки судебных актов судами вышестоящих инстанций и основания для их отмены или изменения. Таким образом, оспариваемая заявителем норма не предполагает произвольного установления арбитражным судом фактических обстоятельств и изложения принимаемых им судебных актов, вопросов, связанных с их обжалованием, не регламентирует, а потому не может расцениваться в качестве нарушающей его конституционные права в указанном в жалобе аспекте. Проверка же правильности определения фактических обстоятельств и обоснованности судебных актов по конкретному делу, на что, по сути, направлены доводы обращения, а равно и разрешение вопросов, не связанных с проверкой конституционности нормативного акта,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Кушнарева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