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Серова Евгения Вадимовича на нарушение его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Е.В.Серова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Е.В.Серов, кассационная жалоба которого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По мнению заявителя, оспариваемое законоположение не соответствует Конституции Российской Федерации, в том числе ее статьям 2 19 (часть 1), 46 (части 1 и 2) и 47 (часть 1), поскольку по смыслу, придаваемому ему правоприменительной практикой, оно ограничивает возможность обжалования в Судебную коллегию по гражданским делам Верховного Суда Российской Федерации определения кассационного суда общей юрисдикции, вынесенного по делу, подсудному мировому судье, с нарушением фундаментальных принципов правосудия.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Серова Евгения Вадимовича,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