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Шамонина Александра Андреевича на нарушение его конституционных прав статьями 74, 3899, 38911 и 38913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А.А.Шамонина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А.А.Шамонин, привлеченный к уголовной ответственности, просит признать не соответствующими статье 50 (часть 3) Конституции Российской Федерации статьи 74 «Доказательства», 3899 «Предмет судебного разбирательства в апелляционном порядке», 38911 «Назначение и подготовка заседания суда апелляционной инстанции» и 38913 «Порядок рассмотрения уголовного дела судом апелляционной инстанции» УПК Российской Федерации. По мнению заявителя, оспариваемые нормы неконституционны, поскольку не относят копию приговора, врученную осужденному, к доказательствам; не предусматривают обязанность суда 2 апелляционной инстанции проверять по заявлению стороны защиты содержание копии приговора на соответствие подлиннику; не обязывают данный суд исследовать копию приговора в судебном заседании для проверки итогового судебного решения, вынесенного по уголовному делу; не содержат механизма устранения противоречий между копией и подлинником приговора.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А.А.Шамонин оспаривал в аналогичном аспекте конституционность статей 74, 3899, 38911 и 38913 УПК Российской Федерации в своей предшествующей жалобе, по результатам изучения которой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Шамонина Александра Андреевича,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