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«Геатон» на нарушение его конституционных прав статьями 195 и 196, пунктом 1 статьи 197, пунктом 1 и абзацем вторым пункта 2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«Геатон»,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«Геатон» (далее также – ООО «Геатон») оспаривает конституционность статей 195 «Понятие исковой давности» и 196 «Общий срок исковой давности», пункта 1 статьи 197 «Специальные сроки исковой давности», пункта 1 и абзаца второго пункта 2 статьи 200 «Начало течения срока исковой давности» ГК Российской Федерации. Как следует из представленных материалов, решением комитета по управлению имуществом Саратовской области от 2 марта 1994 года № 309 был утвержден план приватизации государственного предприятия 2 «Производственное объединение третий государственный подшипниковый завод» с созданием на его основе акционерного общества открытого типа «Третий специализированный подшипниковый завод», в состав имущества которого среди прочего включены находившиеся на балансе приватизируемого предприятия здания его медико-санитарной части, что в соответствии с пунктом 1 Указа Президента Российской Федерации от 10 января 1993 года № 8 «Об использовании объектов социально-культурного и коммунально-бытового назначения приватизируемых предприятий» (утратил силу на основании Указа Президента Российской Федерации от 26 марта 2003 года № 370 «Об изменении и признании утратившими силу некоторых актов Президента Российской Федерации») допускалось, если включаемые в состав приватизируемого имущества объекты здравоохранения не относились к числу обслуживающих жителей данного региона, при этом профиль использования указанных объектов подлежал обязательному сохранению. В 2006 году данное акционерное общество, сменившее в 1996 году наименование на открытое акционерное общество «Саратовский подшипниковый завод», создало дочернее юридическое лицо – общество с ограниченной ответственностью «Парацельс» и внесло в качестве вклада в его уставный капитал упомянутые здания медико-санитарной части. В 2012– 2013 годах осуществлялась реорганизация общества с ограниченной ответственностью «Парацельс»: сначала из него были выделены хозяйственные общества, а затем оно было разделено. Между вновь образованными юридическими лицами были распределены означенные здания. В собственность ООО «Геатон», созданного в результате указанного разделения, перешло здание площадью 3 986,3 кв.м. Первый заместитель прокурора Саратовской области, действуя в интересах Российской Федерации и Саратовской области, а также Правительство Саратовской области, ссылаясь на несоблюдение предусмотренных Указом Президента Российской Федерации от 10 января 1993 года № 8 условий и порядка приватизации объектов социально- 3 культурного назначения в части, касающейся использования имущественного комплекса для целей осуществления медицинской деятельности, обратились с иском об истребовании спорных зданий и соответствующих земельных участков из незаконного владения ООО «Геатон» и других лиц. Данный иск был удовлетворен решением Арбитражного суда Саратовской области от 25 марта 2023 года по делу № А57-4722/2022, с чем согласились суды вышестоящих инстанций (постановление Двенадцатого арбитражного апелляционного суда от 5 июня 2023 года, постановление Арбитражного суда Поволжского округа от 19 октября 2023 года, определение судьи Верховного Суда Российской Федерации от 7 февраля 2024 года). Отклоняя довод ответчиков о пропуске истцами срока исковой давности, суды пришли к мнению о необходимости исчисления этого срока с момента завершения прокуратурой проверки, выявившей допущенные нарушения, а в отношении Правительства Саратовской области – с момента его участия в судебном деле № А57-4722/2022. В качестве дополнительного аргумента была отмечена недопустимость применения института исковой давности в качестве способа легализации имущества, незаконно приобретенного в ущерб интересам публичного собственника и помимо его воли. Заявитель просит признать оспариваемые законоположения не соответствующими статьям 1 (часть 1), 6 (часть 2), 8 (часть 2), 15 (часть 1), 18 (часть 2), 19 (часть 1), 35 (части 1 и 3), 45 (часть 1), 46 (часть 1) и 751 Конституции Российской Федерации, поскольку установленные ими правила о сроках исковой давности не применяются в отношении исков прокуроров, направленных на изъятие имущества из частной собственности в интересах публично-правовых субъектов.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признаются и защищаются равным образом частная, государственная, муниципальная и иные формы собственности (статья 8, часть 2). При этом под защитой статьи 35 (части 1 и 2) Конституции Российской Федерации находятся и лица, 4 получившие имущество в частную собственность в процессе приватизации государственной или муниципальной собственности. Осуществляя регулирование и защиту прав и свобод человека и гражданина (статья 71, пункт «в», Конституции Российской Федерации) и исходя из того, что экономической основой любого демократического правового государства являются частная собственность и рынок, федеральный законодатель в период перехода к рыночной экономике должен был определить правовые начала преобразования отношений собственности (постановления Конституционного Суда Российской Федерации от 15 июня 2006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представленных заявителем судебных актов, решение об удовлетворении иска было обусловлено прежде всего фактом неисполнения обязанности по сохранению назначения (профиля) соответствующих объектов после их включения в состав приватизируемого 7 имущественного комплекса предприятия, находившегося в федеральной собственности. Условие же о сохранении социально значимого профиля приватизируемого объекта является существенным с точки зрения обеспечения функционирования при переходе к рыночной экономике сложившейся социально-культурной и коммунально-бытовой инфраструктуры и тем самым по своему смыслу было направлено на поддержание в конкретных исторических условиях экономической и социальной солидарности, исполнение социальных обязательств России как государства, политика которого, в том числе и до эксплицитного закрепления в Конституции Российской Федерации соответствующих положений, должна была быть направлена на создание условий, обеспечивающих достойную жизнь и свободное развитие человека (статья 7 (часть 1), статья 751 Конституции Российской Федерации). Нарушение обязанности сохранять назначение (профиль) объекта, содержание которой, в том числе продолжительность ее действия, и правовые последствия (способы защиты публичных интересов) при нарушении такой обязанности не относятся к предмету регулирования оспариваемых норм, устанавливается судом в каждом конкретном деле с учетом всей совокупности фактических обстоятельств, включая законность и добросовестность поведения владельца такого объекта в динамике изменения состояния социальной инфраструктуры соответствующего профиля в субъекте Российской Федерации (муниципальном образовании). Момент, когда публично-правовому образованию стало или должно было стать известно о нарушении своих прав, равно как и момент, когда состоялось нарушение условия использования такого объекта (то есть нарушение прав публичного образования) в период действия этого условия, также определяется судом с учетом всей совокупности фактических обстоятельств, поэтому таковым не обязательно является дата перехода соответствующего объекта из публичной собственности в частную в ходе приватизации. Именно эти критерии начала течения срока исковой давности 8 применимы и в случаях, когда иск в защиту интересов публично-правового образования был заявлен прокурором (пункт 8 постановления Пленума Высшего Арбитражного Суда Российской Федерации от 23 марта 2012 года № 15 «О некоторых вопросах участия прокурора в арбитражном процессе», пункт 5 постановления Пленума Верховного Суда Российской Федерации от 29 сентября 2015 года № 43 «О некоторых вопросах, связанных с применением норм Гражданского кодекса Российской Федерации об исковой давности»). При этом к рассматриваемой обязанности по сохранению назначения (профиля) приватизированных в составе предприятия объектов социально- культурного и коммунально-бытового назначения применима выраженная Конституционным Судом Российской Федерации относительно юридической судьбы социально значимых объектов, принадлежавших должнику-банкроту, правовая позиция, по смыслу которой условия о надлежащем содержании и использовании таковых согласно их целевому назначению не прекращают действовать в связи с переходом права собственности на такой объект от первичного покупателя (приобретшего его у должника в процедуре банкротства) к другому лицу, которое, в свою очередь, должно осознавать особенности приобретаемых объектов; иное не учитывало бы цели соответствующего регулирования как направленного на защиту прав и законных интересов местного населения (Определение Конституционного Суда Российской Федерации от 13 февраля 2024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учетом изложенного оспариваемые законоположения не могут расцениваться как нарушающие конституционные права ООО «Геатон», доводы которого, приведенные в обоснование своей позиции, свидетельствуют о том, что обращение о проверке конституционности статей 195 и 196, пункта 1 статьи 197, пункта 1 и абзаца второго пункта 2 статьи 200 ГК Российской Федерации фактически сводится к требованию о проверке ошибочного, по его мнению, толкования указанных норм правоприменителями с учетом фактических обстоятельств конкретного дела. Вместе с тем проверка законности и обоснованности выводов арбитражных судов по делу с участием заявителя, с которыми он выражает несогласие, в том числе по вопросам о пропуске истцами срока исковой давности и о моменте начала его течения,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«Геатон»,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