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«Мираж» на нарушение его конституционных прав статьями 195 и 196, пунктом 1 статьи 197, пунктом 1 и абзацем вторым пункта 2 статьи 200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М.Б.Лобова, Н.В.Мельникова, В.А.Сивицкого, заслушав сообщение судьи В.А.Сивицкого,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общества с ограниченной ответственностью «Мираж»,</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«Мираж» (далее также – ООО «Мираж») оспаривает конституционность статей 195 «Понятие исковой давности» и 196 «Общий срок исковой давности», пункта 1 статьи 197 «Специальные сроки исковой давности», пункта 1 и абзаца второго пункта 2 статьи 200 «Начало течения срока исковой давности» ГК Российской Федерации. Как следует из представленных материалов, решением комитета по управлению имуществом Саратовской области от 2 марта 1994 года № 309 был утвержден план приватизации государственного предприятия 2 «Производственное объединение третий государственный подшипниковый завод» с созданием на его основе акционерного общества открытого типа «Третий специализированный подшипниковый завод», в состав имущества которого среди прочего включены находившиеся на балансе приватизируемого предприятия здания его медико-санитарной части, что в соответствии с пунктом 1 Указа Президента Российской Федерации от 10 января 1993 года № 8 «Об использовании объектов социально-культурного и коммунально-бытового назначения приватизируемых предприятий» (утратил силу на основании Указа Президента Российской Федерации от 26 марта 2003 года № 370 «Об изменении и признании утратившими силу некоторых актов Президента Российской Федерации») допускалось, если включаемые в состав приватизируемого имущества объекты здравоохранения не относились к числу обслуживающих жителей данного региона, при этом профиль использования указанных объектов подлежал обязательному сохранению. В 2006 году данное акционерное общество, сменившее в 1996 году наименование на открытое акционерное общество «Саратовский подшипниковый завод», создало дочернее юридическое лицо – общество с ограниченной ответственностью «Парацельс» и внесло в качестве вклада в его уставный капитал упомянутые здания медико-санитарной части. В 2012– 2013 годах осуществлялась реорганизация общества с ограниченной ответственностью «Парацельс»: сначала из него были выделены хозяйственные общества, а затем оно было разделено. Между вновь образованными юридическими лицами были распределены означенные здания. В собственность ООО «Мираж», созданного в результате указанного разделения, перешло здание площадью 789,6 кв.м, а также доля в праве собственности на здание площадью 8 516,1 кв.м. Первый заместитель прокурора Саратовской области, действуя в интересах Российской Федерации и Саратовской области, а также Правительство Саратовской области, ссылаясь на несоблюдение предусмотренных Указом Президента Российской Федерации от 10 января 3 1993 года № 8 условий и порядка приватизации объектов социально- культурного назначения в части, касающейся использования имущественного комплекса для целей осуществления медицинской деятельности, обратились с иском об истребовании спорных зданий и соответствующих земельных участков из незаконного владения ООО «Мираж» и других лиц. Данный иск был удовлетворен решением Арбитражного суда Саратовской области от 25 марта 2023 года по делу № А57-4722/2022, с чем согласились суды вышестоящих инстанций (постановление Двенадцатого арбитражного апелляционного суда от 5 июня 2023 года, постановление Арбитражного суда Поволжского округа от 19 октября 2023 года, определение судьи Верховного Суда Российской Федерации от 7 февраля 2024 года). Отклоняя довод ответчиков о пропуске истцами срока исковой давности, суды пришли к мнению о необходимости исчисления этого срока с момента завершения прокуратурой проверки, выявившей допущенные нарушения, а в отношении Правительства Саратовской области – с момента его участия в судебном деле № А57-4722/2022. В качестве дополнительного аргумента была отмечена недопустимость применения института исковой давности в качестве способа легализации имущества, незаконно приобретенного в ущерб интересам публичного собственника и помимо его воли. Заявитель просит признать оспариваемые законоположения не соответствующими статьям 1 (часть 1), 6 (часть 2), 8 (часть 2), 15 (часть 1), 18 (часть 2), 19 (часть 1), 35 (части 1 и 3), 45 (часть 1), 46 (часть 1) и 751 Конституции Российской Федерации, поскольку установленные ими правила о сроках исковой давности не применяются в отношении исков прокуроров, направленных на изъятие имущества из частной собственности в интересах публично-правовых субъектов.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признаются и защищаются равным образом частная, государственная, муниципальная и иные формы собственности (статья 8, часть 2). При этом под защитой статьи 4 35 (части 1 и 2) Конституции Российской Федерации находятся и лица, получившие имущество в частную собственность в процессе приватизации государственной или муниципальной собственности. Осуществляя регулирование и защиту прав и свобод человека и гражданина (статья 71, пункт «в», Конституции Российской Федерации) и исходя из того, что экономической основой любого демократического правового государства являются частная собственность и рынок, федеральный законодатель в период перехода к рыночной экономике должен был определить правовые начала преобразования отношений собственности (постановления Конституционного Суда Российской Федерации от 15 июня 2006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следует из представленных заявителем судебных актов, решение об удовлетворении иска было обусловлено прежде всего фактом неисполнения обязанности по сохранению назначения (профиля) 7 соответствующих объектов после их включения в состав приватизируемого имущественного комплекса предприятия, находившегося в федеральной собственности. Условие же о сохранении социально значимого профиля приватизируемого объекта является существенным с точки зрения обеспечения функционирования при переходе к рыночной экономике сложившейся социально-культурной и коммунально-бытовой инфраструктуры и тем самым по своему смыслу было направлено на поддержание в конкретных исторических условиях экономической и социальной солидарности, исполнение социальных обязательств России как государства, политика которого, в том числе и до эксплицитного закрепления в Конституции Российской Федерации соответствующих положений, должна была быть направлена на создание условий, обеспечивающих достойную жизнь и свободное развитие человека (статья 7 (часть 1), статья 751 Конституции Российской Федерации). Нарушение обязанности сохранять назначение (профиль) объекта, содержание которой, в том числе продолжительность ее действия, и правовые последствия (способы защиты публичных интересов) при нарушении такой обязанности не относятся к предмету регулирования оспариваемых норм, устанавливается судом в каждом конкретном деле с учетом всей совокупности фактических обстоятельств, включая законность и добросовестность поведения владельца такого объекта в динамике изменения состояния социальной инфраструктуры соответствующего профиля в субъекте Российской Федерации (муниципальном образовании). Момент, когда публично-правовому образованию стало или должно было стать известно о нарушении своих прав, равно как и момент, когда состоялось нарушение условия использования такого объекта (то есть нарушение прав публичного образования) в период действия этого условия, также определяется судом с учетом всей совокупности фактических обстоятельств, поэтому таковым не обязательно является дата перехода соответствующего объекта из публичной собственности в 8 частную в ходе приватизации. Именно эти критерии начала течения срока исковой давности применимы и в случаях, когда иск в защиту интересов публично-правового образования был заявлен прокурором (пункт 8 постановления Пленума Высшего Арбитражного Суда Российской Федерации от 23 марта 2012 года № 15 «О некоторых вопросах участия прокурора в арбитражном процессе», пункт 5 постановления Пленума Верховного Суда Российской Федерации от 29 сентября 2015 года № 43 «О некоторых вопросах, связанных с применением норм Гражданского кодекса Российской Федерации об исковой давности»). При этом к рассматриваемой обязанности по сохранению назначения (профиля) приватизированных в составе предприятия объектов социально- культурного и коммунально-бытового назначения применима выраженная Конституционным Судом Российской Федерации относительно юридической судьбы социально значимых объектов, принадлежавших должнику-банкроту, правовая позиция, по смыслу которой условия о надлежащем содержании и использовании таковых согласно их целевому назначению не прекращают действовать в связи с переходом права собственности на такой объект от первичного покупателя (приобретшего его у должника в процедуре банкротства) к другому лицу, которое, в свою очередь, должно осознавать особенности приобретаемых объектов; иное не учитывало бы цели соответствующего регулирования как направленного на защиту прав и законных интересов местного населения (Определение Конституционного Суда Российской Федерации от 13 февраля 2024 года</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 учетом изложенного оспариваемые законоположения не могут расцениваться как нарушающие конституционные права ООО «Мираж», доводы которого, приведенные в обоснование своей позиции, свидетельствуют о том, что обращение о проверке конституционности статей 195 и 196, пункта 1 статьи 197, пункта 1 и абзаца второго пункта 2 статьи 200 ГК Российской Федерации фактически сводится к требованию о проверке ошибочного, по его мнению, толкования указанных норм правоприменителями с учетом фактических обстоятельств конкретного дела. Вместе с тем проверка законности и обоснованности выводов арбитражных судов по делу с участием заявителя, с которыми он выражает несогласие, в том числе по вопросам о пропуске истцами срока исковой давности и о моменте начала его течения, не относится к полномочиям Конституционного Суда Российской Федерации, как они определены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«Мираж»,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