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конституционность ряда положений Федерального конституционного закона от 21 июля 1994 года № 1-ФКЗ «О Конституционном Суде Российской Федерации», Гражданского процессуального кодекса Российской Федерации, Кодекса административного судопроизводства Российской Федерации, Уголовно- исполнительного кодекса Российской Федерации и Уголовно- процессуального кодекса Российской Федерации. Как утверждает Э.А.Гусейнов, положения названных законодательных актов, будучи примененными судами в конкретных делах, нарушили его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2 Обозначенные в жалобах Э.А.Гусейнова вопросы ранее уже неоднократно ставились им в обращениях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