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2440-О/2025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«Домен» на нарушение его конституционных прав рядом нормативных 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«Домен»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«Домен» (далее – ООО «Домен») оспаривает конституционность статьи 210 «Бремя содержания имущества» ГК Российской Федерации, пункта 16 статьи 2 «Основные понятия, используемые в настоящем Федеральном законе», частей 5 и 6 статьи 17 «Оказание услуг по передаче тепловой энергии, теплоносителя», части 8 статьи 238 «Особенности заключения и исполнения договоров теплоснабжения, договоров поставки тепловой энергии (мощности) и (или) теплоносителя и договоров оказания услуг по передаче тепловой энергии, теплоносителя в ценовых зонах теплоснабжения» Федерального закона от 27 июля 2010 года № 190-ФЗ «О теплоснабжении», пунктов 56, 561 и 562 Правил 2 организации теплоснабжения в Российской Федерации (утверждены Постановлением Правительства Российской Федерации от 8 августа 2012 года № 808 «Об организации теплоснабжения в Российской Федерации и о внесении изменений в некоторые акты Правительства Российской Федерации»). Из представленных материалов следует, что решением арбитражного суда, с которым согласились суды вышестоящих инстанций, удовлетворены исковые требования (с учетом их уточнения) публичного акционерного общества к заявителю о признании незаконными действий по препятствованию теплоснабжению многоквартирных домов и запрете осуществлять действия (бездействие), приводящие к прекращению и (или) ограничению передачи тепловой энергии (теплоносителя) от центрального теплового пункта. При рассмотрении дела арбитражным судом было удовлетворено ходатайство истца о принятии обеспечительных мер в виде обязания ООО «Домен» держать запорную арматуру центрального теплового пункта в открытом состоянии, расположенное в нем насосное, теплообменное и иное оборудование – в работоспособном и включенном состоянии до вступления в силу судебного акта, которым заканчивается рассмотрение иска по существу. По мнению заявителя, оспариваемые нормы противоречат статьям 8, 18, 19 (часть 1), 34 (часть 1), 35 (часть 2), 37, 45 (часть 1), 46 и 55 Конституции Российской Федерации в той мере, в какой по смыслу, придаваемому им правоприменительной практикой, они допускают понуждение собственников центральных тепловых пунктов осуществлять деятельность в сфере теплоснабжения без наделения их статусом теплосетевых организаций.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«Домен»,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