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Петрухина Михаила Николаевича на нарушение его конституционных прав пунктом 1 статьи 612, а также пунктами 1 и 2 статьи 613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М.Н.Петрухина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некоммерческой организации и оставленным без изменения постановлениями судов апелляционной и кассационной инстанций, было признано недействительной сделкой перечисление должником денежных средств в пользу гражданина М.Н.Петрухина, являвшегося руководителем должника. При этом суды исходили, в частности, из безвозмездности оспариваемой сделки, совершенной в условиях неплатежеспособности должника в отношении заинтересованного лица, с целью вывода денежных средств из конкурсной массы организации и причинения вреда имущественным правам ее кредиторов. 2 М.Н.Петрухин оспаривает конституционность пункта 1 статьи 612 «Оспаривание подозрительных сделок должника», а также пунктов 1 и 2 статьи 613 «Оспаривание сделок должника, влекущих за собой оказание предпочтения одному из кредиторов перед другими кредиторами»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17 (часть 3) и 19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позволяют оспорить любую сделку, которая была совершена в соответствующий период до момента принятия заявления о признании должника банкротом или после принятия данного заявления, в том числе направленную на компенсацию руководителю ранее израсходованных в интересах возглавляемого им юридического лица денежных средств.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Петрухина Михаила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