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Щетинкина Николая Антоновича на нарушение его конституционных прав пунктом 51 Положения о кадровом резерве на государственной гражданской службе Ямало-Ненецкого автономного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Н.А.Щетинкина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Н.А.Щетинкин оспаривает конституционность пункта 51 Положения о кадровом резерве на государственной гражданской службе Ямало-Ненецкого автономного округа (утверждено постановлением Губернатора Ямало-Ненецкого автономного округа от 5 апреля 2018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жалоба на нарушение конституционных прав и свобод законом, иным нормативным актом признается допустимой, если имеются признаки нарушения прав и свобод заявителя в результате применения оспариваемого нормативного акта в конкретном деле с его участием, а также если при разрешении данного дела исчерпаны все другие внутригосударственные средства судебной защиты. При этом заявитель обязан приложить к жалобе судебные решения, подтверждающие применение обжалуемого 3 нормативного акта судом при разрешении конкретного дела и исчерпание всех других внутригосударственных средств судебной защиты. Конкретным делом, по смыслу указанных положений Конституции Российской Федерации и Федерального конституционного закона «О Конституционном Суде Российской Федерации»,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Щетинкина Николая Антоновича,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