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акционерного общества «Шапсугский чай»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акционерного общества «Шапсугский чай»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«Шапсугский чай» (далее также – общество) оспаривает конституционность следующих законоположений: частей первой и второй статьи 45 «Участие в деле прокурора» ГПК Российской Федерации; подпункта 1 пункта 2 и пункта 3 статьи 45 «Основания прекращения права постоянного (бессрочного) пользования земельным участком, права пожизненного наследуемого владения земельным участком», пунктов 1 и 2 статьи 46 «Основания прекращения аренды земельного участка», пунктов 1 и 6 статьи 54 «Порядок изъятия земельного участка, предоставленного на праве пожизненного наследуемого владения, праве постоянного (бессрочного) 2 пользования,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Федерации», пунктов 5 и 6 статьи 71 «Государственный земельный надзор» Земельного кодекса Российской Федерации; пункта 4 статьи 1 «Основные начала гражданского законодательства», пункта 1 статьи 10 «Пределы осуществления гражданских прав», статей 195 «Понятие исковой давности» и 196 «Общий срок исковой давности», пункта 1 статьи 197 «Специальные сроки исковой давности», пункта 1 и абзаца второго пункта 2 статьи 200 «Начало течения срока исковой давности», абзаца второго статьи 208 «Требования, на которые исковая давность не распространяется»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заместителя Генерального прокурора Российской Федерации о прекращении предоставленного заявителю права постоянного (бессрочного) пользования земельными участками и расторжении заключенных с ним договоров аренды земельных участков, относящихся к публичной собственности. Суды пришли к выводам, что общество, действуя в качестве арендатора и землепользователя, систематически нарушало требования земельного, природоохранного и экологического законодательства, неоднократно привлекалось по этим причинам к административной ответственности, оно не осуществляет – вопреки целевому назначению названных участков и условиям договоров аренды – надлежащую сельскохозяйственную деятельность и не имеет возможности для этого (исходя из незначительной штатной численности и отсутствия грузовой и иной техники). В результате действий (бездействия) заявителя более 50 процентов приведенных земельных участков заросли сорной и древесно-кустарниковой растительностью, произошло дробление единого земельного массива на многочисленные земельные участки, не связанное с их сельскохозяйственным использованием и направленное на передачу третьим лицам. 3 По мнению общества, оспариваемые законоположения не соответствуют Конституции Российской Федерации, ее статьям 1 (часть 1), 4 (часть 2), 8, 15 (части 1, 2 и 4), 17 (часть 3), 18, 19, 34 (часть 1), 35 (части 1–3), 45–47, 55 (части 2 и 3), 74 (часть 1), 751 и 123 (часть 3), поскольку они, помимо прочего, позволяют судам произвольно признавать действия ответчиков в качестве недобросовестных, отказывать последним в применении сроков исковой давности, принимать и рассматривать по существу исковые требования, заявленные прокурором, при наличии иного уполномоченного государственного органа, в обязанности которого входит контроль за соблюдением земельного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Части первая и вторая статьи 45 ГПК Российской Федерации, конкретизируя закрепленный в статье 129 Конституции Российской Федерации конституционно-правовой статус прокуратуры Российской Федерации, предоставляют прокурору право обратиться в суд с заявлением в защиту прав, свобод и законных интересов граждан, неопределенного круга лиц или интересов Российской Федерации, субъектов Российской Федерации, муниципальных образований. При этом данные положения не предполагают возможности произвольного решения прокурором вопроса об обращении в суд с подобным заявлением – такое решение принимается им в соответствии с процессуальным законодательством Российской Федерации, если этого требует защита прав граждан и охраняемых законом интересов общества или государства. Предписания подпункта 1 пункта 2 и пункта 3 статьи 45, пунктов 1 и 2 статьи 46, пункта 1 статьи 54 Земельного кодекса Российской Федерации о возможности прекращения права постоянного (бессрочного) пользования или аренды земельных участков при использовании последних с нарушением требований законодательства Российской Федерации, в том числе при использовании не по целевому назначению или если использование приводит к 4 существенному снижению плодородия земель сельскохозяйственного назначения, согласуются с общеправовым принципом законности, предусмотренным статьей 15 (часть 2) Конституции Российской Федерации, а в части земель сельскохозяйственного назначения служат также интересам продовольственной безопасности государства. С учетом конституционного требования о недопустимости осуществления прав и свобод человека и гражданина в нарушение прав и свобод других (статья 17, часть 3, Конституции Российской Федерации) законодатель предусмотрел в Гражданском кодексе Российской Федерации в качестве одного из основных начал гражданского законодательства противоправность извлечения преимущества из своего незаконного или недобросовестного поведения (пункт 4 статьи 1) и запрет на злоупотребление правом (статья 10). Названные положения Гражданского кодекса Российской Федерации не содержат неопределенности и позволяют судам в рамках их дискреционных полномочий определить на основе исследования фактических обстоятельств дела необходимость их применения в конкретном споре. Исходя из этого приведенные законоположения сами по себе конституционных прав заявителя не нарушают.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акционерного общества «Шапсугский чай»,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