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2662-О/2025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Россиевой Евгении Анатольевны на нарушение ее конституционных прав статьей 159 Уголовного кодекса Российской Федерации и пунктом 1 статьи 2 Гражданского кодекса Российской Федерации, а также частью первой1 статьи 108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Е.А.Россиевой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Е.А.Россиева, в отношении которой была избрана мера пресечения в виде заключения под стражу, просит признать не соответствующими статьям 2, 6 (часть 2), 8, 15, 17–19, 21, 22, 34 (часть 1), 45, 46, 49 и 55 Конституции Российской Федерации часть первую1 статьи 108 «Заключение под стражу» УПК Российской Федерации, статью 159 «Мошенничество» УК Российской Федерации и статью 2 «Отношения, регулируемые гражданским законодательством» ГК Российской Федерации. 2 По мнению заявительницы, оспариваемые нормы позволяют применять меру пресечения в виде заключения под стражу в отношении лица, привлекаемого к уголовной ответственности за совершение мошенничества в связи с осуществлением им предпринимательской деятельности, на основании того, что инкриминируемое деяние было направлено на причинение вреда потерпевшим и извлечение преступного дохода, а также имело своей целью хищение денежных средств этих потерпевших.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Россиевой Евгении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