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Первичной профсоюзной организации – Независимого профсоюза «Профсвобода» работников ОАО «Сургутнефтегаз» Межрегионального профсоюза работников нефте-газо- горнодобывающей и перерабатывающей промышленности Объединения профсоюзов России СОЦПРОФ на нарушение конституционных прав положениями статей 3, 57, 74, 135 и 150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Первичной профсоюзной организации – Независимого профсоюза «Профсвобода» работников ОАО «Сургутнефтегаз» Межрегионального профсоюза работников нефте-газо-горнодобывающей и перерабатывающей промышленности Объединения профсоюзов России СОЦПРОФ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Первичная профсоюзная организация – Независимый профсоюз «Профсвобода» работников ОАО «Сургутнефтегаз» Межрегионального профсоюза работников нефте-газо-горнодобывающей и перерабатывающей промышленности Объединения профсоюзов России СОЦПРОФ оспаривает 2 конституционность следующих положений Трудового кодекса Российской Федерации: статьи 3, запрещающей дискриминацию в сфере труда; статьи 57, а фактически абзаца пятого ее части второй, закрепляющего, что обязательными для включения в трудовой договор являются условия оплаты труда (в том числе размер тарифной ставки или оклада (должностного оклада) работника, доплаты, надбавки и поощрительные выплаты); статьи 74, регулирующей порядок изменения определенных сторонами условий трудового договора по причинам, связанным с изменением организационных или технологических условий труда; статьи 135, а фактически положений ее частей первой, второй и пятой, предусматривающих, что заработная плата работнику устанавливается трудовым договором в соответствии с действующими у данного работодателя системами оплаты труда;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условия оплаты труда, определенные трудовым договором,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актами; статьи 150, а фактически ее части первой, согласно которой при выполнении работником с повременной оплатой труда работ различной квалификации его труд оплачивается по работе более высокой квалификации. По мнению заявителя, оспариваемые нормы противоречат Конституции Российской Федерации, в частности ее статьям 15, 19 и 37, поскольку позволяют включать в трудовой договор несколько тарифных ставок, а судам – 3 не признавать изменением трудового договора изменение размера часовой тарифной ставки и не применять положение статьи 150 Трудового кодекса Российской Федерации об оплате работ различной квалификации.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Первичной профсоюзной организации – Независимого профсоюза «Профсвобода» 6 работников ОАО «Сургутнефтегаз» Межрегионального профсоюза работников нефте-газо-горнодобывающей и перерабатывающей промышленности Объединения профсоюзов России СОЦПРОФ,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