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Табаки Анны Сергеевны на нарушение ее конституционных прав частями 1 и 2 статьи 10 Федерального закона «О противодействии коррупции», частью 5 статьи 511, а также частями 1 и 2 статьи 71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А.С.Табаки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А.С.Табака оспаривает конституционность следующих положений статьи 10 Федерального закона от 25 декабря 2008 года № 273-ФЗ «О противодействии коррупции»: части 1, согласно которой под конфликтом интересов в названном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2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полномочий); части 2, предусматривающей, что в части 1 данной статьи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данной статьи,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части 1 данной статьи, и (или) лица, состоящие с ним в близком родстве или свойстве, связаны имущественными, корпоративными или иными близкими отношениями. Кроме того, заявительница считает не соответствующими Конституции Российской Федерации нормы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а именно: часть 5 статьи 511, устанавливающую, что взыскания, предусмотренные статьями 501 и 821 данного Федерального закона, налагаются не позднее шести месяцев со дня поступления информации о совершении сотрудником органов внутренних дел коррупционного правонарушения, не считая периодов временной нетрудоспособности сотрудника, нахождения его в отпуске или командировке, и не позднее трех лет со дня совершения им коррупционного правонарушения; в указанные сроки не включается время производства по уголовному делу; части 1 и 2 статьи 71, закрепляющие, что для целей указанного Федерального закона используются понятия «конфликт интересов» и 3 «личная заинтересованность», установленные частями 1 и 2 статьи 10 Федерального закона «О противодействии коррупции». Как следует из представленных материалов, прокурор обратился к органу внутренних дел, где проходила службу А.С.Табака, с иском о признании незаконным бездействия должностных лиц данного органа и возложении на них обязанности по совершению определенных действий, вследствие чего судом было вынесено решение об обязании начальника заявительницы, участвовавшей в деле в качестве третьего лица, уволить ее в связи с утратой доверия ввиду несоблюдения ею добровольно принятых на себя обязательств по предотвращению и урегулированию конфликта интересов. По мнению заявительницы, оспариваемые нормы, примененные в ее деле судами общей юрисдикции, не соответствуют статьям 1 (часть 1), 4 (часть 2), 15 (части 1 и 2), 17, 19 (части 1 и 2), 32 (часть 5), 37 (часть 1), 45 (часть 1), 46 (часть 1), 49, 54 (часть 2) и 55 (часть 3)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предполагают возможность произвольного применения указанных законоположений, в том числе привлечения к ответственности за коррупционное правонарушение без установления факта его совершения и вины сотрудника органов внутренних дел в таком правонарушении. При этом неконституционность части 5 статьи 511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выражается также и в том, что названная норма, как полагает заявительница, допускает исчисление установленного ею срока не с момента совершения коррупционного правонарушения, а с момента окончания проверки, проведенной по итогам обращения прокурора в орган внутренних дел, допуская и возможность восстановления указанного срока.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противодействии коррупции», обязывая указанных в данном Федеральном законе лиц принимать меры по недопущению любой возможности возникновения конфликта интересов (часть 1 статьи 11), закрепляет для целей применения положений этого Федерального закона определения понятий «конфликт интересов» и «личная заинтересованность» (части 1 и 2 статьи 10). Приведенные законоположения направлены на повышение эффективности противодействия коррупции, основаны на принципах приоритетного применения мер по предупреждению коррупции и ориентированы на обеспечение безопасности государства (определения Конституционного Суда Российской Федерации от 26 марта 2019 года Часть 5 статьи 511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Федерации», предусматривающая сроки привлечения сотрудника органов внутренних дел к ответственности за совершение коррупционного правонарушения, имеет целью обеспечить 5 определенность правового положения привлекаемых к ответственности сотрудников и не допустить произвольного, в том числе без учета времени, прошедшего с момента совершения коррупционного правонарушения, применения взысканий и, следовательно, не может расцениваться как нарушающая права сотрудников органов внутренних дел. Указывая на неопределенность содержания оспариваемых норм и возможность их произвольного применения, в том числе при исчислении сроков наложения взысканий в связи с непринятием сотрудником органов внутренних дел мер по предотвращению и (или) урегулированию конфликта интересов, А.С.Табака выражает несогласие с оценкой ее поведения, которая была дана судами общей юрисдикции, рассматривавшими дело с ее участием, полагая, что в этом выражается нарушение ее прав. Однако разрешение вопроса о наличии оснований для увольнения заявительницы со службы в органах внутренних дел вследствие ненадлежащего исполнения ею обязанностей, установленных для нее законодательством,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Табаки Анны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