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Рухловой Валентины Сергеевны на нарушение ее конституционных прав частью первой статьи 129, частью второй статьи 135 и частью первой статьи 191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В.С.Рухловой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В.С.Рухлова оспаривает конституционность следующих положений Трудового кодекса Российской Федерации: части первой статьи 129, согласно которой заработная плата (оплата труда работника) – это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иные 2 выплаты компенсационного характера) и стимулирующие выплаты (доплаты и надбавки стимулирующего характера, премии и иные поощрительные выплаты); части второй статьи 135, предусматривающей, что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части первой статьи 191, закрепляющей право работодателя поощрять работников, добросовестно исполняющих трудовые обязанности (объявлять благодарность, выдавать премию, награждать ценным подарком, почетной грамотой, представлять к званию лучшего по профессии). По мнению заявительницы, оспариваемые нормы не соответствуют статьям 17 (часть 3), 19 (части 1 и 2), 21, 37 (части 1–3), 54 (часть 2), 55 (часть 3), 75 (часть 5) и 751 Конституции Российской Федерации в той мере, в какой они порождают возможность произвольного установления работодателем в локальных нормативных актах правил исчисления отдельных выплат, входящих в состав заработной платы, в том числе премий, и позволяют без учета количества и качества затраченного труда, а также иных объективных критериев уменьшать размер заработной платы работника путем лишения его премии. Оспариваемые нормы применены в деле заявительницы судами общей юрисдикции.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Заработная плата конкретного работника, которая в соответствии с Трудовым кодексом Российской Федерации может состоять из вознаграждения за труд в зависимости от квалификации работника, сложности, количества, качества и условий выполняемой работы, а также компенсационных и стимулирующих выплат (часть первая статьи 129), устанавливается трудовым договором в соответствии с действующими у данного работодателя системами оплаты труда (часть первая статьи 135 данного Кодекса), которые могут включать в том числе системы премирования. Это предполагает определение размера, условий и периодичности премирования в коллективных договорах, соглашениях, локальных нормативных актах в соответствии с трудовым законодательством и иными нормативными правовыми актами, содержащими нормы трудового права (часть вторая статьи 135), причем условия оплаты труда, определенные коллективным договором, соглашениями, локальными нормативными актами, не могут быть ухудшены по сравнению с установленными трудовым законодательством и иными нормативными правовыми актами, содержащими нормы трудового права (часть шестая той же статьи). В Постановлении от 15 июня 2023 года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Рухловой Валентины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