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927924-П/2026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Дегтярева Александра Анатольевича на нарушение его конституционных прав статьями 125 и 144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А.А.Дегтярева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 порядке статьи 125 УПК Российской Федерации гражданину А.А.Дегтяреву отказано в удовлетворении жалобы на решение об отказе в возбуждении уголовного дела, принятое по его заявлению. Судом апелляционной инстанции постановление оставлено без изменения, в передаче кассационных жалоб для рассмотрения в судебном заседании суда кассационной инстанции А.А.Дегтяреву отказано. А.А.Дегтярев оспаривает конституционность статей 125 «Судебный порядок рассмотрения жалоб» и 144 «Порядок рассмотрения сообщения о преступлении» УПК Российской Федерации. По его мнению, оспариваемые 2 нормы нарушают права, гарантированные статьями 18, 19 (часть 1) и 46 (части 1 и 2) Конституции Российской Федерации, поскольку позволяют следователю при проведении доследственной проверки не проверять все доводы, изложенные в заявлении о преступлении, уклоняясь от исследования тех из них, которые подтверждают наличие события преступления, и поскольку позволяют суду без обсуждения с участием сторон не уведомлять лицо, принявшее проверяемое постановление об отказе в возбуждении уголовного дела, о дате, времени и месте судебного заседания.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Дегтярева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