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«АВЭЙ РИЭЛТИ» на нарушение его конституционных прав пунктом 3 статьи 845, пунктом 1 статьи 858 Гражданского кодекса Российской Федерации, статьей 76, пунктами 5 и 8 статьи 77, а также пунктами 1 и 2 статьи 78 Федерального закона «О противодействии легализации (отмыванию) доходов, полученных преступным путем, и финансированию терроризма»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«АВЭЙ РИЭЛТИ»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«АВЭЙ РИЭЛТИ» (далее также – общество) оспаривает конституционность пункта 3 статьи 845 «Договор банковского счета», пункта 1 статьи 858 «Ограничение распоряжения счетом» ГК Российской Федерации, статьи 76, пунктов 5 и 8 статьи 77, а также пунктов 1 и 2 статьи 78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терроризма». 2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исковых требований общества к банку о возобновлении дистанционного банковского обслуживания расчетного счета. Судами, в частности, установлено, что банк после поступления информации от Банка России об отнесении этого общества к высокой степени (уровню) риска совершения подозрительных операций, приостановив его дистанционное банковское обслуживание по расчетному счету, действовал в пределах полномочий при реализации процедур внутреннего контроля, предоставленных ему федеральным законом. По мнению общества, оспариваемые законоположения не соответствуют статьям 1 (часть 1), 4 (часть 2), 19 (части 1 и 2), 34 (часть 1), 35 (часть 2), 45, 46 (части 1 и 2), 55 (части 2 и 3), 76 (часть 1) и 123 (часть 3) Конституции Российской Федерации, поскольку они: носят неопределенный характер и образуют конституционно значимый пробел, не устанавливая оснований ограничения конституционных прав и создавая неопределенность в критериях отнесения клиентов к группам риска; допускают, по смыслу, придаваемому им правоприменительной практикой, презумпцию недобросовестности клиента, позволяют привлекать его к ответственности за действия третьих лиц; не соответствуют требованиям о надлежащих форме и субъекте ограничения конституционных прав, в том числе наделяя Центральный банк Российской Федерации неограниченным объемом полномочий по определению критериев отнесения клиентов к группам риска и тем самым ограничивая свободу предпринимательской (экономической) деятельности актом уровня ниже федерального закона, а также допуская непосредственное применение соответствующих мер кредитными организациями, чем нарушают равенство сторон договора банковского счета и баланс их законных интересов; нарушают гарантии государственной и судебной защиты.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«АВЭЙ РИЭЛТИ»,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