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1119-О/2025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Кравченко Марии Александровны на нарушение ее конституционных прав абзацем первым части 2 статьи 2, абзацем третьим части 1 и частью 3 статьи 2-1 Закона Республики Крым «Об особенностях регулирования имущественных и земельных отношений на территории Республики Крым»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М.А.Кравченко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М.А.Кравченко оспаривает конституционность абзаца первого части 2 статьи 2, абзаца третьего части 1 и части 3 статьи 2-1 Закона Республики Крым от 31 июля 2014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Постановлении от 7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Кравченко Марии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