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Кружаловой Екатерины Владимировны на нарушение ее конституционных прав частями 1–3 статьи 30.13 и частями 2 и 3 статьи 30.14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Е.В.Кружаловой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Е.В.Кружалова оспаривает конституционность частей 1–3 статьи 30.13 «Суды, рассматривающие жалобы, протесты на вступившие в законную силу постановление по делу об административном правонарушении, решения по результатам рассмотрения жалоб, протестов» и частей 2 и 3 статьи 30.14 «Подача жалобы, принесение протеста на вступившие в законную силу постановление по делу об административном правонарушении, решения по результатам рассмотрения жалоб, протестов» КоАП Российской Федерации. 2 Как следует из представленных материалов, постановлением уполномоченного должностного лица, оставленным без изменения решениями судей районного и городского судов, заявительница признана виновной в совершении административного правонарушения, выразившегося в том, что, выходя из автомобиля со стороны проезжей части, при открытии задней двери она не убедилась в безопасности своих действий, в результате чего произошло столкновение с транспортным средством под управлением гражданина Т. (часть 1 статьи 12.29 «Нарушение Правил дорожного движения пешеходом или иным лицом, участвующим в процессе дорожного движения» КоАП Российской Федерации). Судья Второго кассационного суда общей юрисдикции возвратил защитнику заявительницы жалобу на указанные постановления и решения без рассмотрения ввиду отсутствия в ней в нарушение требований статьи 30.14 КоАП Российской Федерации сведений о потерпевшем Т. Защитник заявительницы подал жалобу на данные постановления и решения в Верховный Суд Российской Федерации, однако она также была возвращена с разъяснением о том, что жалоба на данные акты может быть рассмотрена Верховным Судом Российской Федерации только после рассмотрения жалобы на них кассационным судом общей юрисдикции и указанием на отсутствие в жалобе сведений о потерпевшем. По мнению заявительницы, оспариваемые нормы нарушают ее право на судебную защиту, так как не допускают обжалования вступившего в законную силу постановления по делу об административном правонарушении при отсутствии в жалобе информации о потерпевшем, а потому противоречат статьям 2, 17, 18, 45 и 46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Кружаловой Екатерины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