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«Торрес Моторс» на нарушение его конституционных прав пунктом 1 статьи 18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«Торрес Моторс»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«Торрес Моторс» (далее также – ООО «Торрес Моторс») оспаривает конституционность пункта 1 статьи 18 Закона Российской Федерации от 7 февраля 1992 года № 2300-I «О защите прав потребителей», а фактически – положений абзаца восьмого этого пункта, согласно которым 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2 течение пятнадцати дней со дня передачи потребителю такого товара; по истечении этого срока указанные требования подлежат удовлетворению лишь в предусмотренных данным пунктом случаях. Из представленных материалов следует, что решением суда общей юрисдикции, с которым согласились суды вышестоящих инстанций, с ООО «Торрес Моторс» в пользу потребителя, отказавшегося от некачественного товара, взысканы денежные средства: разница в цене товара на дату его продажи и на дату вынесения судебного постановления, неустойка, штраф и компенсация морального вреда. Суд, установив, что с даты приобретения товара до момента возврата уплаченных за товар денежных средств цена приобретенного истцом товара изменилась и что на дату возврата денежных средств разница в цене товара продавцом не возмещена, пришел к выводу о взыскании с ООО «Торрес Моторс» убытков, связанных с возвратом товара ненадлежащего качества, в виде разницы между ценой товара, закрепленной договором купли-продажи, и ценой аналогичного товара на дату удовлетворения требования потребителя. При этом суды исходили из того, что стоимость товара на момент рассмотрения спора следует определять без учета скидок. По мнению заявителя, оспариваемая норма не соответствует статье 17 (часть 3) Конституции Российской Федерации в той мере, в какой она в системе действующего правового регулирования по смыслу, придаваемому ей правоприменительной практикой, позволяет потребителю при возврате купленного со скидкой товара получать фактически не оплаченную им стоимость товара в размере предоставленной скидки к цене, в случае если цена товара с даты покупки до даты возврата не увеличилась. Кроме того, заявитель в разных частях жалобы указывает на несоответствие Конституции Российской Федерации пункта 1 статьи 23 Закона Российской Федерации «О защите прав потребителей».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«Торрес Моторс», поскольку она не 5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