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1848-О/2025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Богачева Сергея Александровича на нарушение его конституционных прав статьей 159 Уголовного кодекса Российской Федерации и статьей 125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С.А.Богачева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суда, с которым согласились вышестоящие судебные инстанции, оставлена без удовлетворения поданная в порядке статьи 125 УПК Российской Федерации жалоба гражданина С.А.Богачева на вновь вынесенное постановление об отказе в возбуждении уголовного дела по признакам совершения в его отношении мошеннических действий гражданкой М. При этом суды исходили из правомерности принятого процессуального решения, поскольку в ходе доследственной проверки констатировано наличие между заявителем и М. гражданско-правового спора, который был разрешен в порядке гражданского судопроизводства путем отказа С.А.Богачеву в иске к М. 2 о признании права собственности на спорное жилое помещение, а достаточных данных, свидетельствующих о наличии у М. умысла на совершение преступления, не установлено. В этой связи заявитель – утверждая о неполноте проведения дополнительной проверки и игнорировании в ее рамках указаний, данных прокурором при отмене предшествующего аналогичного постановления об отказе в возбуждении уголовного дела, – просит признать не соответствующими статьям 1, 2, 4 (часть 2), 15 (части 1 и 2), 17‒19, 45 (часть 1), 46 (часть 1), 49, 50 (часть 2) и 52 Конституции Российской Федерации статью 159 «Мошенничество» УК Российской Федерации и статью 125 «Судебный порядок рассмотрения жалоб» УПК Российской Федерации. По его утверждению, оспариваемые нормы в нарушение его прав как потерпевшего от преступного посягательства позволяют без надлежащего исследования обстоятельств дела отказывать в привлечении к уголовной ответственности за мошенничество.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Статья 159 УК Российской Федерации определяет мошенничество как хищение чужого имущества или приобретение права на чужое имущество путем обмана или злоупотребления доверием. При этом под хищением, согласно пункту 1 примечаний к статье 158 данного Кодекса, понимаются совершенные с корыстной целью противоправные безвозмездное изъятие и (или) обращение чужого имущества в пользу виновного или других лиц, причинившие ущерб собственнику или иному владельцу этого имущества. Нет оснований полагать, что приведенные нормы содержат неопределенность в части признаков преступления (определения Конституционного Суда Российской Федерации от 16 апреля 2009 года Как неоднократно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Богачева Сергея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