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Асеева Александра Леонидовича на нарушение его конституционных прав пунктом 4 примечаний к статье 158 и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А.Л.Асеева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А.Л.Асеев, осужденный за мошенничество, просит признать не соответствующими статьям 2, 17 (части 1 и 2), 18, 19, 45 (часть 2), 46 (части 1 и 2), 49 (часть 3), 50 (части 1 и 3), 54 (часть 1), 55 (части 2 и 3) и 123 (часть 3) Конституции Российской Федерации пункт 4 примечаний к статье 158 «Кража» и часть четвертую статьи 159 «Мошенничество» УК Российской Федерации, как позволяющие определять размер похищенного имущества исходя из его рыночной стоимости.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159 УК Российской Федерации устанавливает уголовную ответственность за мошенничество, т.е. хищение чужого имущества или приобретение права на чужое имущество путем обмана или злоупотребления доверием (часть первая), и усиливает ответственность за такое деяние в том числе в случае его совершения в особо крупном размере (часть четвертая). При этом согласно примечаниям к статье 158 данного Кодекса под хищением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 (пункт 1); крупным размером в статьях главы 21 данного Кодекса, за исключением частей шестой и седьмой статьи 159, статей 1591, 1595 и 165, признается стоимость имущества, превышающая двести пятьдесят тысяч рублей, а особо крупным – один миллион рублей (пункт 4). Для квалификации деяния как мошенничества необходимо обязательное установление как общих признаков преступления (в том числе общественной опасности и противоправности), так и специальных признаков, включенных в состав мошенничества (в том числе характеризующих его объективную и субъективную сторону)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Асеева Александра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