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Парфеновой Ларисы Владимировны на нарушение ее конституционных прав частями первой – четвертой статьи 74, пунктами 4 и 7 части первой статьи 77 и частью шестой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Л.В.Парфеновой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Л.В.Парфенова оспаривает конституционность следующих положений Трудового кодекса Российской Федерации: частей первой – четвертой статьи 74, согласно которым в случае, когда по причинам, связанным с изменением организационных или технологических условий труда (изменения в технике и технологии производства, структурная реорганизация производства, другие причины), определенные сторонами условия трудового договора не могут быть сохранены, допускается их изменение по инициативе работодателя, за исключением изменения трудовой функции работника; о предстоящих изменениях определенных сторонами условий трудового договора, а также о 2 причинах, вызвавших необходимость таких изменений, работодатель обязан уведомить работника в письменной форме не позднее чем за два месяца, если иное не предусмотрено данным Кодексом; если работник не согласен работать в новых условиях, то работодатель обязан в письменной форме предложить ему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здоровья; при этом работодатель обязан предлагать работнику все отвечающие указанным требованиям вакансии, имеющиеся у него в данной местности; предлагать вакансии в других местностях работодатель обязан, если это предусмотрено коллективным договором, соглашениями, трудовым договором; 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данного Кодекса; пунктов 4 и 7 части первой статьи 77, закрепляющих такие общие основания прекращения трудового договора, как расторжение трудового договора по инициативе работодателя и отказ работника от продолжения работы в связи с изменением определенных сторонами условий трудового договора (часть четвертая статьи 74 данного Кодекса); части шестой статьи 81, не допускающей увольнение работника по инициативе работодателя (за исключением случая ликвидации организации либо прекращения деятельности индивидуальным предпринимателем) в период его временной нетрудоспособности и в период пребывания в отпуске. По мнению заявительницы, оспариваемые законоположения не соответствуют статьям 17 (часть 3) и 37 (части 1 и 2)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 и судебным толкованием (в том числе в решениях по конкретному делу), предоставляют работодателю право отозвать уведомление об изменении условий трудового договора, в том числе 3 за пределами определенной им в данном уведомлении даты увольнения, в случае временной нетрудоспособности работника, а также отказать в увольнении в связи с несогласием работника продолжить трудовые отношения в новых условиях в день увольнения (конкретную дату), указанный в уведомлении об изменении условий трудового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уже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Парфеновой Ларисы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