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Блинова Григория Матвеевича на нарушение его конституционных прав подпунктом «д» пункта 161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Г.М.Блинова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Г.М.Блинов оспаривает конституционность подпункта «д» пункта 161 статьи 12 Федерального закона от 25 апреля 2002 года № 40- ФЗ «Об обязательном страховании гражданской ответственности владельцев транспортных средств», согласно которому страховое возмещение вреда, причиненного легковому автомобилю, находящемуся в собственности гражданина и зарегистрированному в Российской Федерации, осуществляется путем почтового перевода суммы страховой выплаты потерпевшему (выгодоприобретателю) или ее перечисления на банковский счет потерпевшего (выгодоприобретателя) в случае, если стоимость восстановительного ремонта поврежденного транспортного средства 2 превышает установленную подпунктом «б» статьи 7 данного Федерального закона страховую сумму или максимальный размер страхового возмещения, установленный для случаев оформления документов о дорожно- транспортном происшествии без участия уполномоченных на то сотрудников полиции, либо если в соответствии с пунктом 22 той же статьи все участники дорожно-транспортного происшествия признаны ответственными за причиненный вред при условии, что в указанных случаях потерпевший не согласен произвести доплату за ремонт станции технического обслуживания. Как следует из представленных материалов, определением суда апелляционной инстанции, с которым согласились суды вышестоящих инстанций, отказано в удовлетворении иска Г.М.Блинова к страховой компании о взыскании страхового возмещения в денежной форме, убытков, неустойки, штрафа и компенсации морального вреда. В обоснование иска было среди прочего указано, что стоимость восстановительного ремонта принадлежащего истцу автомобиля превысила максимальный размер страхового возмещения, установленный для случаев оформления документов о дорожно-транспортном происшествии без участия уполномоченных на то сотрудников полиции, и что истец не был согласен на доплату станции технического обслуживания за ремонт. По мнению заявителя, оспариваемая норма противоречит статьям 8, 15, 34, 35 и 45 Конституции Российской Федерации, поскольку в силу неопределенности своего содержания лишает потерпевшего страхового возмещения в форме страховой выплаты в случае превышения стоимости восстановительного ремонта принадлежащего ему транспортного средства над лимитом ответственности страховщика, притом что потерпевший не дал согласия на соответствующую доплату и вследствие чего не обращался на станцию технического обслуживания для проведения указанного ремонта по направлению страховой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указал Конституционный Суд Российской Федерации в Определении от 11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Блинова Григория Матвеевича,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