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Ковалевой Натальи Викторовны на нарушение ее конституционных прав статьей 255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Н.В.Ковалевой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Судом апелляционной инстанции 20 июня 2024 года в связи с допущенными нарушениями уголовно-процессуального закона отменены постановления районного суда, которыми ранее продлевался срок содержания под стражей гражданки Н.В.Ковалевой, соответствующие материалы направлены на новое судебное рассмотрение и установлен срок содержания обвиняемой под стражей до 10 июля 2024 года. С апелляционным постановлением согласились суды кассационной инстанции. Н.В.Ковалева утверждает, что статья 255 «Решение вопроса о мере пресечения» УПК Российской Федерации противоречит статьям 19 (части 1 и 2 2), 21, 22, 34 (часть 1), 49 (часть 3) и 55 (часть 3) Конституции Российской Федерации, поскольку позволяет судам произвольно толковать закон и реализовывать не предусмотренное данной статьей полномочие по установлению срока содержания под стражей.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Ковалевой Натальи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