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«Птицефабрика Зеленецкая» на нарушение его конституционных прав пунктом 1 статьи 1486 Гражданского кодекса Российской Федерации и пунктом 5 части 1 статьи 129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«Птицефабрика Зеленецкая»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«Птицефабрика Зеленецкая» (далее также – АО «Птицефабрика Зеленецкая», общество) оспаривает конституционность пункта 1 статьи 1486 «Последствия неиспользования товарного знака» ГК Российской Федерации и пункта 5 части 1 статьи 129 «Возвращение искового заявления» АПК Российской Федерации. Как следует из представленных материалов, определением Суда по интеллектуальным правам, оставленным его президиумом без изменения, исковое заявление АО «Птицефабрика Зеленецкая» к иному хозяйствующему субъекту о досрочном прекращении правовой охраны товарного знака 2 возвращено в связи с несоблюдением установленного законом обязательного досудебного порядка урегулирования спора. Как установил суд, данное исковое заявление было подано с пропуском тридцатидневного срока на обращение в суд, исчисляемого с даты истечения двух месяцев со дня направления заинтересованным лицом правообладателю предложения об отказе от права на товарный знак либо о заключении договора о его отчуждении. Определением судьи Верховного Суда Российской Федерации обществу отказано в передаче кассационной жалобы для рассмотрения в судебном заседании Судебной коллегии по экономическим спорам этого суда. По мнению заявителя, оспариваемые нормы противоречат статьям 2, 15 (часть 1), 17 (часть 1), 18, 19 (часть 1), 45 (части 1 и 2), 46 (часть 1), 54 (часть 2), 55 (части 2 и 3) и 56 (часть 3) Конституции Российской Федерации в той мере, в какой ограничивают право на судебную защиту и доступ к правосудию, поскольку: устанавливают пресекательный срок на подачу искового заявления после соблюдения истцом досудебного порядка урегулирования спора и отказа от добровольного удовлетворения его требования правообладателем; позволяют возвращать в связи с пропуском указанного срока исковое заявление, относя соблюдение данного срока к досудебной процедуре урегулирования спора; вводят для конкретной категории споров ограничение по сроку подачи иска, а также – в отсутствие возможности восстановления или продления данного срока – влекут неблагоприятные последствия его пропуска, не предусмотренные по другим категориям споров и не имеющие разумного оправдания.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«Птицефабрика Зеленецкая»,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