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Белова Павла Владимировича на нарушение его конституционных прав частями 5 и 6 статьи 320, частью 4 статьи 323 и частью 4 статьи 324 Кодекса административного судопроизводства Российской Федерации, а также Областным законом Ленинградской области «О внесении изменения в статью 3 областного закона «О транспортном налоге»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П.В.Белова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П.В.Белов оспаривает конституционность Областного закона Ленинградской области от 11 октября 2019 года № 74-оз «О внесении изменения в статью 3 областного закона «О транспортном налоге», которым статья 3 Областного закона Ленинградской области от 22 ноября 2002 года № 51-оз «О транспортном налоге» изложена в новой редакции, предполагающей, что от уплаты транспортного налога освобождаются имеющие водительское удостоверение инвалиды I и II групп. 2 Помимо этого заявитель оспаривает конституционность частей 5 и 6 статьи 320 «Содержание кассационных жалобы, представления» и части 4 статьи 323 «Изучение кассационных жалобы, представления судьей Верховного Суда Российской Федерации» КАС Российской Федерации. Из представленных материалов следует, что определением районного суда П.В.Белов был привлечен к участию в деле о взыскании по требованию налогового органа с его отца – гражданина Б., проживающего в Ленинградской области, задолженности по транспортному налогу. При этом решение районного суда, которым было удовлетворено требование налогового органа, обжаловалось заявителем в апелляционном и кассационном порядке. Определением судьи Верховного Суда Российской Федерации отказано в передаче кассационной жалобы П.В.Белова для рассмотрения в заседании судебной коллегии этого суда. По мнению П.В.Белова, Областной закон Ленинградской области «О внесении изменения в статью 3 областного закона «О транспортном налоге» не позволяет применять предусмотренную им льготу по уплате транспортного налога с обратной силой; оспариваемые положения Кодекса административного судопроизводства Российской Федерации необоснованно возлагают на подателей кассационных жалоб обязанность представления копий обжалуемых судебных актов в суд кассационной инстанции и не устанавливают конкретного порядка изучения кассационной жалобы Председателем Верховного Суда Российской Федерации, его заместителем. В связи с этим заявитель, настаивающий также на отмене Конституционным Судом Российской Федерации принятых по делу с его участием судебных актов, просит признать данные законоположения не соответствующими Конституции Российской Федерации, в частности ее статьям 2, 7, 17–19, 21, 33, 35, 45–47 и 55.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законом и иными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Белова Павла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