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1254-О/2025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Романова Вячеслава Геннадьевича на нарушение его конституционных прав пунктом 2 части первой статьи 43 и пунктом 1 статьи 97 Федерального конституционного закона «О Конституционном Суде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В.Г.Романова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В.Г.Романов ранее обращался в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своих решениях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Романова Вячеслава Геннадьевича,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