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Николаева Сергея Васильевича на нарушение его конституционных прав частями 1, 9 и 21 статьи 9, статьей 12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а также пунктом 1 статьи 196, пунктами 1 и 2 статьи 200 и статьями 201, 209, 301,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С.В.Николаева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С.В.Николаев оспаривает конституционность частей 1, 9 и 21 статьи 9 «Создание судов Российской Федерации на территориях Республики Крым и города федерального значения Севастополя. Осуществление правосудия в переходный период», статьи 12 «Действие документов, выданных государственными и иными официальными органами Украины, государственными и иными официальными органами Автономной Республики Крым и города Севастополя» Федерального конституционного закона от 21 марта 2014 года № 6-ФКЗ «О принятии в Российскую 2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а также пункта 1 статьи 196 «Общий срок исковой давности», пунктов 1 и 2 статьи 200 «Начало течения срока исковой давности», статей 201 «Срок исковой давности при перемене лиц в обязательстве», 209 «Содержание права собственности», 301 «Истребование имущества из чужого незаконного владения» и 302 «Истребование имущества от добросовестного приобретателя» ГК Российской Федерации. Из представленных материалов следует, что решением суда общей юрисдикции, с которым согласились суды вышестоящих инстанций, удовлетворены исковые требования территориального управления имущественных отношений Министерства обороны Российской Федерации, зарегистрировавшего право оперативного управления на лодочный гараж в 2017 году, к С.В.Николаеву об истребовании из чужого незаконного владения данного лодочного гаража, приобретенного заявителем по договору купли-продажи в 2019 году у гражданина П., право собственности которого на данный объект ранее было зарегистрировано на основании решения Феодосийского городского суда, принятого в 2006 году. По мнению заявителя, оспариваемые законоположения не соответствуют Конституции Российской Федерации, ее статьям 2, 17, 19, 24, 35, 46 и 125, в той мере, в какой по смыслу, придаваемому им правоприменительной практикой, они позволяют российским судам выносить решения об истребовании у гражданина недвижимого имущества в случае, когда имеются вступившие в законную силу решения судов Украины о признании права собственности на это имущество, которые не были обжалованы в установленном порядке или отменены.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Николаева Сергея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