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«Студия Энтузиаст» на нарушение его конституционных прав пунктом 4 статьи 222 Гражданского кодекса Российской Федерации и рядом норм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«Студия Энтузиаст»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«Студия Энтузиаст» (далее также – общество) оспаривает конституционность пункта 4 статьи 222 ГК Российской Федерации о принятии органами местного самоуправления решений о сносе самовольной постройки или ее приведении в соответствие с установленными требованиями. Заявитель также связывает нарушение своих конституционных прав с пунктами 2–2.2, 4–4.1.1 Положения о взаимодействии органов 2 исполнительной власти города Москвы при организации работы по выявлению и пресечению незаконного (нецелевого) использования земельных участков (утверждено постановлением Правительства Москвы от 11 декабря 2013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 представленными материалами не подтверждается применение в конкретном деле заявителя пункта 4 статьи 222 ГК Российской Федерации. В соответствии с правовой позицией Конституционного Суда Российской Федерации гарантии права собственности, закрепленные в статье 35 Конституции Российской Федерации, предоставляются лишь в отношении права, возникшего на законных основаниях (постановления от 11 марта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«Студия Энтузиаст»,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