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928213-П/2024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Поздеева Виталия Владимировича на нарушение его конституционных прав пунктами 2 и 3 Постановления Правительства Российской Федерации от 18 марта 2024 года № 326 «Об установлении особенностей применения неустойки (штрафа, пени), иных финансовых санкций, а также других мер ответственности за неисполнение или ненадлежащее исполнение обязательств по договорам участия в долевом строительстве, установленных законодательством о долевом строительстве»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В.В.Поздеева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В.В.Поздеев оспаривает конституционность пунктов 2 и 3 Постановления Правительства Российской Федерации от 18 марта 2024 года № 326 «Об установлении особенностей применения неустойки (штрафа, пени), иных финансовых санкций, а также других мер ответственности за неисполнение или ненадлежащее исполнение обязательств по договорам 2 участия в долевом строительстве, установленных законодательством о долевом строительстве» (далее также – Постановление № 326). Из представленных материалов следует, что решением суда общей юрисдикции, принятым после направления судом кассационной инстанции дела на новое рассмотрение, с застройщика в пользу заявителя, а также гражданки П. взыскана в том числе неустойка за нарушение срока исполнения требования о соразмерном уменьшении цены договора участия в долевом строительстве. Определением суда апелляционной инстанции данное решение было изменено. В частности, суд изменил размер подлежащей взысканию неустойки, определив его с учетом Постановления № 326. С этим согласились суды кассационной инстанции. По мнению В.В.Поздеева, оспариваемые нормы противоречат Конституции Российской Федерации, ее статьям 19, 35, 46 и 55, в той мере, в какой по смыслу, придаваемому им правоприменительной практикой, они допускают применение нового правового регулирования, ухудшающего положение граждан-потребителей, к обязательствам застройщика перед такими гражданами, установленным до принятия Постановления № 326 вступившим в законную силу судебным постановлением и фактически исполненным, если последующая отмена этого постановления суда судом кассационной инстанции была вызвана процессуальным нарушением, не связанным с неправильным применением материального закона.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Постановлением Конституционного Суда Российской Федерации от 14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Поздеева Виталия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