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927994-О/2026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Ращук Людмилы Анатольевны на нарушение ее конституционных прав частью первой статьи 321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Л.А.Ращук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Л.А.Ращук, которой определением суда первой инстанции, с которым согласились суды вышестоящих инстанций, возвращена апелляционная жалоба на решение этого суда, оспаривает конституционность части первой статьи 321 ГПК Российской Федерации, а фактически – ее положения о том, что апелляционные жалоба, представление могут быть поданы в течение месяца со дня принятия решения суда в окончательной форме (примененного судами в конкретном деле заявительницы в редакции, действовавшей до вступления в силу Федерального закона от 1 апреля 2025 года № 49-ФЗ, и закрепленного в части второй названной статьи). 2 По мнению Л.А.Ращук, данная норма противоречит Конституции Российской Федерации, в том числе ее статьям 2, 18 и 46, поскольку она допускает фактическое уменьшение срока апелляционного обжалования в связи с нарушением судом первой инстанции срока направления сторонам мотивированного решения этого суда, ограничивая тем самым доступ к правосудию. Заявительница также просит внести соответствующее изменение в это оспариваемое положение.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Ращук Людмилы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