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928009-О/2026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Сальниковой Елены Владимировны на нарушение ее конституционных прав частью первой статьи 153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Е.В.Сальниковой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Е.В.Сальникова оспаривает конституционность части первой статьи 153 «Назначение дела к судебному разбирательству» ГПК Российской Федерации. Как следует из представленных материалов, определением судьи кассационного суда общей юрисдикции, с которым согласилась судебная коллегия этого суда, Е.В.Сальниковой возвращена без рассмотрения по существу кассационная жалоба на определение суда первой инстанции о назначении дела с ее участием к судебному разбирательству. Определением судьи Верховного Суда Российской Федерации заявительнице отказано в передаче для рассмотрения в судебном заседании 2 Судебной коллегии по гражданским делам этого суда кассационной жалобы на указанное определение о возврате кассационной жалобы. По мнению Е.В.Сальниковой, оспариваемое законоположение по смыслу, придаваемому ему правоприменительной практикой, противоречит Конституции Российской Федерации, поскольку позволяет не выполнившему задачи подготовки дела к разбирательству суду – без участия сторон и в отсутствие в суде материалов данного дела – вынести определение о назначении этого дела к судебному разбирательству.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Сальниковой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