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Дейкун Светланы Степановны на нарушение ее конституционных прав Федеральным конституционным законом «О судах общей юрисдикции в Российской Федерации», статьями 3 и 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С.С.Дейкун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С.С.Дейкун, исковые заявления которой были рассмотрены судами общей юрисдикции, оспаривает конституционность статей 3 «Право на обращение в суд» и 6 «Равенство всех перед законом и судом» ГПК Российской Федерации, а также Федерального конституционного закона от 7 февраля 2011 года № 1-ФКЗ «О судах общей юрисдикции в Российской Федерации», указывая, что они нарушили ее право на судебную защиту и противоречат статьям 19, 33 и 46 (часть 1) Конституции Российской Федерации, а также ставит ряд вопросов, не связанных с проверкой конституционности нормативных актов.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Дейкун Светланы Степановны,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