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Игоря Алексеевича на нарушение его конституционных прав частью первой статьи 43 и пунктом «а» части первой статьи 49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И.А.Павлов оспаривает конституционность следующих положений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2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семей»: части первой статьи 43, согласно которой пенсии, назначаемые лицам, указанным в статье 1 данного Закона, и их семьям, исчисляются из денежного довольствия военнослужащих, лиц рядового и начальствующего состава органов внутренних дел, Государственной противопожарной службы, органов по контролю за оборотом наркотических средств и психотропных веществ, лиц, проходящих службу в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Федерации; для исчисления им пенсии учитываются в порядке, определяемом Правительством Российской Федерации, оклад по воинской должности или должностной оклад, оклад по воинскому званию или оклад по специальному званию (без учета повышения окладов за службу в отдаленных, высокогорных местностях и в других особых условиях) и ежемесячная надбавка или процентная надбавка за выслугу лет (стаж службы), включая выплаты в связи с индексацией денежного довольствия; пункта «а» части первой статьи 49, предусматривающего пересмотр пенсий, назначенных лицам, указанным в статье 1 данного Закона, и их семьям, одновременно с увеличением денежного довольствия соответствующих категорий военнослужащих и сотрудников исходя из уровня увеличения денежного довольствия, учитываемого при исчислении пенсий. Как следует из представленных материалов, заявитель обращался в суды общей юрисдикции с требованием о признании права на получение социальной поддержки в соответствии с Указом Президента Российской Федерации от 23 августа 2000 года № 1563 «О неотложных мерах социальной поддержки специалистов, осуществляющих деятельность в области ядерного оружейного комплекса Российской Федерации». Решениями судов общей юрисдикции в удовлетворении его исковых 3 требований было отказано по причине того, что он при увольнении (по своей должности и месту прохождения службы) не относился к военнослужащим Вооруженных Сил Российской Федерации, непосредственно участвовавшим в одном из видов деятельности, указанных в Перечне видов деятельности в области ядерного оружейного комплекса Российской Федерации, осуществляемой в организациях и воинских частях, а также в военных представительствах Министерства обороны Российской Федерации, созданных в этих организациях, участие в которой дает право на получение социальной поддержки (утвержден данным Указом). По мнению заявителя, оспариваемые законоположения не соответствуют статьям 7, 19 (часть 1), 39 (часть 1), 55 и 75 (части 5 и 6) Конституции Российской Федерации, поскольку ограничивают его право на меру социальной поддержки, предусмотренную Указом Президента Российской Федерации от 23 августа 2000 года № 1563, в зависимости от времени выхода на пенсию и занимаемой на момент увольнения должности.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права, в том числе правил исчисления размеров пенсий, к компетенции законодателя (статья 39, часть 2). Осуществляя предоставленные полномочия в целях реализации права граждан на пенсионное обеспечение, законодатель в Законе Российской Федерации от 12 февраля 1993 года № 4468-I в том числе определил состав денежного довольствия военнослужащих, лиц рядового и начальствующего состава органов внутренних дел, Государственной противопожарной службы, органов по контролю за оборотом наркотических средств и психотропных веществ, лиц, проходящих службу в учреждениях и органах уголовно- 4 исполнительной системы, войсках национальной гвардии Российской Федерации, органах принудительного исполнения Российской Федерации (часть первая статьи 43), а также возможность пересчета пенсии при увеличении денежного довольствия соответствующих категорий военнослужащих и сотрудников исходя из уровня увеличения денежного довольствия, учитываемого при исчислении пенсий (пункт «а» части первой статьи 49). При этом к компетенции Правительства Российской Федерации отнесено установление порядка учета соответствующих выплат при определении размера пенсии. В соответствии с подпунктом «а» пункта 9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 в качестве общего правила предусмотрено включение в денежное довольствие, учитываемое при исчислении пенсий уволенным с военной службы военнослужащим, оклада по последней штатной должности, оклада по воинскому званию, присвоенному ко дню увольнения, и ежемесячной надбавки за выслугу лет к окладу месячного денежного содержания военнослужащего, исчисленной из этих окладов. Названные нормативные положения в равной мере распространяются на всех лиц, проходивших военную службу, направлены на обеспечение реализации пенсионных прав граждан и сами по себе не могут рассматриваться как нарушающие конституционные права заявителя. 5 Разрешение же вопроса об изменении порядка учета денежного довольствия при исчислении пенсии за выслугу лет к полномочиям Конституционного Суда Российской Федерации, закрепленным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Игоря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