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ассоциации «Саморегулируемая организация «Объединенные производители строительных работ» на нарушение ее конституционных прав частью 1 статьи 2251 Арбитражного процессуального кодекса Российской Федерации во взаимосвязи с частями 1 и 81 статьи 5520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ассоциации «Саморегулируемая организация «Объединенные производители строительных работ»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ассоциации «Саморегулируемая организация «Объединенные производители строительных работ» (далее также – Ассоциация «СРО «ОПСР») отказано в признании незаконными направленных заявителю национальным объединением саморегулируемых организаций, основанных на членстве лиц, осуществляющих строительство (далее – НОСТРОЙ), уведомлений о выявленных нарушениях, содержавших в том числе требования о 2 предоставлении ряда документов, касающихся формирования и использования средств компенсационных фондов саморегулируемой организации. Позднее решением арбитражного суда, оставленным судами вышестоящих инстанций без изменения, по иску НОСТРОЙ – мотивированному неисполнением названных требований, правомерность которых была подтверждена в ранее рассмотренном деле, – на Ассоциацию «СРО «ОПСР» возложена обязанность предоставить соответствующие документы. При этом суды отвергли доводы заявителя о неподсудности данного спора арбитражному суду. Определением судьи Верховного Суда Российской Федерации Ассоциации «СРО «ОПСР» отказано в передаче кассационной жалобы для рассмотрения в судебном заседании Судебной коллегии по экономическим спорам этого суда. Ассоциация «СРО «ОПСР» оспаривает конституционность части 1 статьи 2251 «Дела по корпоративным спорам» АПК Российской Федерации во взаимосвязи с частями 1 и 81 статьи 5520 «Национальные объединения саморегулируемых организаций» Градостроительного кодекса Российской Федерации. По мнению заявителя, эти нормы противоречат статьям 1 (часть 1), 18, 19 (части 1 и 2), 45, 46 (части 1 и 2), 47 (часть 1) и 123 (часть 3) Конституции Российской Федерации в той мере, в какой по смыслу, придаваемому им правоприменительной практикой, позволяют квалифицировать спор между национальным объединением саморегулируемых организаций и саморегулируемой организацией в качестве корпоративного и относящегося к подсудности арбитражных судов без учета правового статуса сторон спора – некоммерческих организаций, наделенных отдельными полномочиями публично-правового характера, и не допускают рассмотрения такого спора в порядке, предусмотренном Кодексом административного судопроизводства Российского Федерации или Гражданским процессуальным кодексом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ассоциации «Саморегулируемая организация «Объединенные производители 5 строительных работ»,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