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Группа Компаний «Промресурс» на нарушение его конституционных прав пунктом 16 статьи 270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Группа Компаний «Промресурс»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Группа Компаний «Промресурс» (далее также – ООО ГК «Промресурс») оспаривает конституционность пункта 16 статьи 270 Налогового кодекса Российской Федерации, в соответствии с которым при определении налоговой базы не учитываются расходы в виде стоимости безвозмездно переданного имущества (работ, услуг, имущественных прав) и расходов, связанных с такой передачей, если иное не предусмотрено главой 25 «Налог на прибыль организаций» данного Кодекса. Как следует из представленных материалов, вступившими в законную силу актами арбитражных судов ООО ГК «Промресурс» отказано в 2 признании недействительным решения налогового органа в части доначисления налога на прибыль организаций. При этом суды в том числе пришли к выводу о том, что налогоплательщиком необоснованно в целях уменьшения налогооблагаемой базы включены в состав расходов затраты на благоустройство сквера, безвозмездно переданного в муниципальную собственность. По мнению ООО ГК «Промресурс», оспариваемое законоположение противоречит статьям 15, 18, 19 и 57 Конституции Российской Федерации, поскольку по смыслу, придаваемому ему правоприменительной практикой, предусматривает безусловный запрет для налогоплательщика на учет расходов в виде стоимости безвозмездно переданного имущества независимо от целей и экономической оправданности создания такого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Группа Компаний «Промресурс»,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