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2186-О/2025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«Интеркрос Центр» на нарушение его конституционных прав статьями 23 и 54 Налогового кодекса Российской Федерации, а также статьей 69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«Интеркрос Центр»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«Интеркрос Центр» (далее также – ООО «Интеркрос Центр») оспаривает конституционность статей 23 «Обязанности налогоплательщиков (плательщиков сборов, плательщиков страховых взносов)» и 54 «Общие вопросы исчисления налоговой базы» Налогового кодекса Российской Федерации, а также статьи 69 «Основания освобождения от доказывания» АПК Российской Федерации. Из представленных материалов следует, что решением налогового органа, принятым по результатам выездной налоговой проверки, заявитель был привлечен к налоговой ответственности с доначислением налога на 2 добавленную стоимость в связи с тем, что им в целях получения необоснованной налоговой выгоды был умышленно создан формальный документооборот с одним из контрагентов; законность данного решения была подтверждена судебными актами по ранее рассмотренному делу. Впоследствии заявитель самостоятельно рассчитал сумму налога и заявил требование о возврате излишне взысканной, как он полагал, суммы, в удовлетворении которого было отказано решением арбитражного суда первой инстанции, поддержанным вышестоящими судами. При этом суды исходили из того, что обстоятельства спорных правоотношений и размер налоговых обязательств ООО «Интеркрос Центр» установлены вступившими в законную силу судебными актами, на преодоление которых направлено заявленное им требование о возврате налога. По мнению ООО «Интеркрос Центр», оспариваемые законоположения противоречат статьям 17, 18, 46, 51, 52, 57 и 120 Конституции Российской Федерации, поскольку их применение в конкретном деле с участием заявителя нарушает конституционные принципы равенства всех перед законом и судом, а также уплаты только законно установленных налогов.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54 Налогового кодекса Российской Федерации определяет общие правила исчисления налоговой базы налогоплательщиками, предусматривая возможность корректировки налоговой базы в текущем налоговом (отчетном) периоде путем ее перерасчета в случае обнаружения налогоплательщиком ошибок (искажений) в исчислении налоговой базы, относящихся к прошлым налоговым (отчетным) периодам (абзац второй пункта 1). Данное законоположение, как неоднократно отмечал Конституционный Суд Российской Федерации, представляет собой дополнительную гарантию прав налогоплательщиков на корректировку налоговой базы, а значит, направлено на защиту, а не на ограничение прав налогоплательщиков (определения от 21 мая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«Интеркрос Центр», поскольку она не 5 отвечает требованиям Федерального конституционного закона,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