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2120-О/2025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Цветковой Вероники Борисовны на нарушение ее конституционных прав подпунктом 1 пункта 1 и подпунктом 5 пункта 2 статьи 33336, подпунктом 5 пункта 1 статьи 33337 Налогового кодекса Российской Федерации, а также положениями Обзора судебной практики Верховного Суда Российской Федерации № 2, 3 (2024)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В.Б.Цветковой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В.Б.Цветкова оспаривает конституционность подпункта 1 пункта 1 и подпункта 5 пункта 2 статьи 33336 «Льготы при обращении в Верховный Суд Российской Федерации, суды общей юрисдикции, к мировым судьям», подпункта 5 пункта 1 статьи 33337 «Льготы при обращении в Верховный Суд Российской Федерации, арбитражные суды» Налогового кодекса Российской Федерации, а также положений Обзора судебной практики Верховного Суда Российской Федерации № 2, 3 (2024) (утвержден 2 Президиумом Верховного Суда Российской Федерации 27 ноября 2024 года), посвященных вопросам уплаты государственной пошлины. Как следует из представленных материалов, судебными актами арбитражных судов по делам, связанным с банкротством юридического лица и исключением его из Единого государственного реестра юридических лиц, неоднократно оставлялись без движения и возвращались жалобы В.Б.Цветковой в связи с неуплатой государственной пошлины, с заявительницы взыскивалась государственная пошлина при рассмотрении ее жалоб, в удовлетворении ходатайств об освобождении от уплаты государственной пошлины было отказано. По мнению заявительницы, оспариваемые положения Налогового кодекса Российской Федерации и Обзора судебной практики Верховного Суда Российской Федерации № 2, 3 (2024) противоречат статьям 19 (части 1 и 2), 45–47 и 55 (часть 3) Конституции Российской Федерации, поскольку позволяют судам произвольно разрешать вопрос об освобождении от уплаты государственной пошлины.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ранее принятых и сохраняющих свою силу решениях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Цветковой Вероники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